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79" w:rsidRDefault="00F70937" w:rsidP="00EB3F79">
      <w:pPr>
        <w:spacing w:before="240" w:after="120"/>
        <w:jc w:val="center"/>
        <w:rPr>
          <w:b/>
          <w:sz w:val="28"/>
          <w:szCs w:val="28"/>
        </w:rPr>
      </w:pPr>
      <w:r w:rsidRPr="00F70937">
        <w:rPr>
          <w:b/>
          <w:sz w:val="28"/>
          <w:szCs w:val="28"/>
        </w:rPr>
        <w:t xml:space="preserve">PRAVIDLA PRO ČÍSLOVÁNÍ </w:t>
      </w:r>
      <w:r>
        <w:rPr>
          <w:b/>
          <w:sz w:val="28"/>
          <w:szCs w:val="28"/>
        </w:rPr>
        <w:t>DOKUMENT</w:t>
      </w:r>
      <w:r w:rsidRPr="00F70937">
        <w:rPr>
          <w:b/>
          <w:sz w:val="28"/>
          <w:szCs w:val="28"/>
        </w:rPr>
        <w:t>Ů</w:t>
      </w:r>
      <w:r w:rsidR="00E4405A">
        <w:rPr>
          <w:b/>
          <w:sz w:val="28"/>
          <w:szCs w:val="28"/>
        </w:rPr>
        <w:t xml:space="preserve"> A DOKUMENTACE </w:t>
      </w:r>
    </w:p>
    <w:p w:rsidR="00D3091B" w:rsidRPr="00EB3F79" w:rsidRDefault="00D3091B" w:rsidP="00EB3F79">
      <w:pPr>
        <w:spacing w:before="120" w:after="120"/>
        <w:jc w:val="both"/>
        <w:rPr>
          <w:b/>
          <w:sz w:val="28"/>
          <w:szCs w:val="28"/>
        </w:rPr>
      </w:pPr>
      <w:r>
        <w:t>Projektant je povinen dodržovat předepsaný jednotný systém číslování dokumentace. Tento systém se vztahuje jak na dokumentaci výkresovou, tak na ostatní technickou dokumentaci (</w:t>
      </w:r>
      <w:r w:rsidR="00DC6D48">
        <w:t xml:space="preserve">schémata, </w:t>
      </w:r>
      <w:proofErr w:type="spellStart"/>
      <w:r>
        <w:t>tech</w:t>
      </w:r>
      <w:proofErr w:type="spellEnd"/>
      <w:r>
        <w:t>.</w:t>
      </w:r>
      <w:r w:rsidR="00DC6D48">
        <w:t xml:space="preserve"> </w:t>
      </w:r>
      <w:r>
        <w:t xml:space="preserve">zprávy, </w:t>
      </w:r>
      <w:r w:rsidR="00DC6D48">
        <w:t xml:space="preserve">souhrnné zprávy, </w:t>
      </w:r>
      <w:r>
        <w:t>výpočty</w:t>
      </w:r>
      <w:r w:rsidR="00DC6D48">
        <w:t xml:space="preserve"> </w:t>
      </w:r>
      <w:r w:rsidR="00B832F8">
        <w:t xml:space="preserve">apod.). Unikátní číslo dokumentu určuje lokalitu, provoz a objekt kde se zařízení nachází, </w:t>
      </w:r>
      <w:r w:rsidR="008B77CD">
        <w:t>sek</w:t>
      </w:r>
      <w:r w:rsidR="00E4405A">
        <w:t>venč</w:t>
      </w:r>
      <w:r w:rsidR="008B77CD">
        <w:t>ní</w:t>
      </w:r>
      <w:r w:rsidR="00E4405A">
        <w:t xml:space="preserve"> </w:t>
      </w:r>
      <w:r w:rsidR="008B77CD">
        <w:t xml:space="preserve">číslo upřesňující </w:t>
      </w:r>
      <w:r w:rsidR="00E4405A">
        <w:t xml:space="preserve">část technické dokumentace, </w:t>
      </w:r>
      <w:r w:rsidR="00EB3F79">
        <w:t xml:space="preserve">technologické číslo </w:t>
      </w:r>
      <w:r w:rsidR="008B77CD">
        <w:t>aparátu nebo specifikace dokumentu</w:t>
      </w:r>
      <w:r w:rsidR="00E4405A">
        <w:t xml:space="preserve">. Pořadové číslo dokumentace </w:t>
      </w:r>
      <w:r w:rsidR="00ED0632">
        <w:t>a číslo revize.</w:t>
      </w:r>
    </w:p>
    <w:p w:rsidR="004A00F9" w:rsidRPr="00EB3F79" w:rsidRDefault="004A00F9" w:rsidP="00EB3F79">
      <w:pPr>
        <w:spacing w:before="120" w:after="120"/>
        <w:rPr>
          <w:b/>
        </w:rPr>
      </w:pPr>
      <w:r w:rsidRPr="00031451">
        <w:rPr>
          <w:b/>
        </w:rPr>
        <w:t>Číslo</w:t>
      </w:r>
      <w:r w:rsidR="00AA48BD" w:rsidRPr="00031451">
        <w:rPr>
          <w:b/>
        </w:rPr>
        <w:t xml:space="preserve"> </w:t>
      </w:r>
      <w:r w:rsidR="00D3091B" w:rsidRPr="00031451">
        <w:rPr>
          <w:b/>
        </w:rPr>
        <w:t>dokumentu se</w:t>
      </w:r>
      <w:r w:rsidRPr="00031451">
        <w:rPr>
          <w:b/>
        </w:rPr>
        <w:t xml:space="preserve"> bude skládat: </w:t>
      </w:r>
      <w:r>
        <w:rPr>
          <w:sz w:val="40"/>
          <w:szCs w:val="40"/>
        </w:rPr>
        <w:t xml:space="preserve">         </w:t>
      </w:r>
    </w:p>
    <w:p w:rsidR="008D3397" w:rsidRDefault="00AE5848" w:rsidP="002679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708"/>
        <w:jc w:val="right"/>
        <w:rPr>
          <w:sz w:val="40"/>
          <w:szCs w:val="40"/>
        </w:rPr>
      </w:pPr>
      <w:r>
        <w:rPr>
          <w:noProof/>
          <w:sz w:val="40"/>
          <w:szCs w:val="4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54.2pt;margin-top:26.45pt;width:.05pt;height:29.4pt;flip:y;z-index:251667456" o:connectortype="straight">
            <v:stroke endarrow="block"/>
          </v:shape>
        </w:pict>
      </w:r>
      <w:r w:rsidRPr="00AE5848">
        <w:rPr>
          <w:noProof/>
          <w:sz w:val="24"/>
          <w:szCs w:val="24"/>
          <w:lang w:eastAsia="cs-CZ"/>
        </w:rPr>
        <w:pict>
          <v:shape id="_x0000_s1037" type="#_x0000_t32" style="position:absolute;left:0;text-align:left;margin-left:442.9pt;margin-top:26.45pt;width:.05pt;height:222.9pt;flip:y;z-index:251672576" o:connectortype="straight">
            <v:stroke endarrow="block"/>
          </v:shape>
        </w:pict>
      </w:r>
      <w:r w:rsidRPr="00AE5848">
        <w:rPr>
          <w:noProof/>
          <w:sz w:val="24"/>
          <w:szCs w:val="24"/>
          <w:lang w:eastAsia="cs-CZ"/>
        </w:rPr>
        <w:pict>
          <v:shape id="_x0000_s1036" type="#_x0000_t32" style="position:absolute;left:0;text-align:left;margin-left:360.4pt;margin-top:26.45pt;width:0;height:192.9pt;flip:y;z-index:251671552" o:connectortype="straight">
            <v:stroke endarrow="block"/>
          </v:shape>
        </w:pict>
      </w:r>
      <w:r w:rsidRPr="00AE5848">
        <w:rPr>
          <w:noProof/>
          <w:sz w:val="24"/>
          <w:szCs w:val="24"/>
          <w:lang w:eastAsia="cs-CZ"/>
        </w:rPr>
        <w:pict>
          <v:shape id="_x0000_s1034" type="#_x0000_t32" style="position:absolute;left:0;text-align:left;margin-left:319.15pt;margin-top:26.45pt;width:.05pt;height:153.9pt;flip:y;z-index:251669504" o:connectortype="straight">
            <v:stroke endarrow="block"/>
          </v:shape>
        </w:pict>
      </w:r>
      <w:r>
        <w:rPr>
          <w:noProof/>
          <w:sz w:val="40"/>
          <w:szCs w:val="40"/>
          <w:lang w:eastAsia="cs-CZ"/>
        </w:rPr>
        <w:pict>
          <v:shape id="_x0000_s1035" type="#_x0000_t32" style="position:absolute;left:0;text-align:left;margin-left:184.15pt;margin-top:26.45pt;width:0;height:59.4pt;flip:y;z-index:251670528" o:connectortype="straight">
            <v:stroke endarrow="block"/>
          </v:shape>
        </w:pict>
      </w:r>
      <w:r>
        <w:rPr>
          <w:noProof/>
          <w:sz w:val="40"/>
          <w:szCs w:val="40"/>
          <w:lang w:eastAsia="cs-CZ"/>
        </w:rPr>
        <w:pict>
          <v:shape id="_x0000_s1033" type="#_x0000_t32" style="position:absolute;left:0;text-align:left;margin-left:277.85pt;margin-top:26.45pt;width:.05pt;height:123.9pt;flip:y;z-index:251668480" o:connectortype="straight">
            <v:stroke endarrow="block"/>
          </v:shape>
        </w:pict>
      </w:r>
      <w:r w:rsidRPr="00AE5848">
        <w:rPr>
          <w:noProof/>
          <w:lang w:eastAsia="cs-CZ"/>
        </w:rPr>
        <w:pict>
          <v:shape id="_x0000_s1038" type="#_x0000_t32" style="position:absolute;left:0;text-align:left;margin-left:227.65pt;margin-top:26.45pt;width:0;height:88.65pt;flip:y;z-index:251673600" o:connectortype="straight">
            <v:stroke endarrow="block"/>
          </v:shape>
        </w:pict>
      </w:r>
      <w:r w:rsidR="00267941">
        <w:rPr>
          <w:sz w:val="40"/>
          <w:szCs w:val="40"/>
        </w:rPr>
        <w:t>PR</w:t>
      </w:r>
      <w:r w:rsidR="008D3397" w:rsidRPr="00B72488">
        <w:rPr>
          <w:sz w:val="40"/>
          <w:szCs w:val="40"/>
        </w:rPr>
        <w:t>-</w:t>
      </w:r>
      <w:r w:rsidR="00860048">
        <w:rPr>
          <w:sz w:val="40"/>
          <w:szCs w:val="40"/>
        </w:rPr>
        <w:t>011</w:t>
      </w:r>
      <w:r w:rsidR="008D3397">
        <w:rPr>
          <w:sz w:val="40"/>
          <w:szCs w:val="40"/>
        </w:rPr>
        <w:t>-</w:t>
      </w:r>
      <w:r w:rsidR="00860048">
        <w:rPr>
          <w:sz w:val="40"/>
          <w:szCs w:val="40"/>
        </w:rPr>
        <w:t>6010</w:t>
      </w:r>
      <w:r w:rsidR="008D3397" w:rsidRPr="00B72488">
        <w:rPr>
          <w:sz w:val="40"/>
          <w:szCs w:val="40"/>
        </w:rPr>
        <w:t>-</w:t>
      </w:r>
      <w:r w:rsidR="00E4405A">
        <w:rPr>
          <w:sz w:val="40"/>
          <w:szCs w:val="40"/>
        </w:rPr>
        <w:t>800</w:t>
      </w:r>
      <w:r w:rsidR="001C19FE">
        <w:rPr>
          <w:sz w:val="40"/>
          <w:szCs w:val="40"/>
        </w:rPr>
        <w:t>-</w:t>
      </w:r>
      <w:r w:rsidR="008D3397">
        <w:rPr>
          <w:sz w:val="40"/>
          <w:szCs w:val="40"/>
        </w:rPr>
        <w:t>X</w:t>
      </w:r>
      <w:r w:rsidR="008D3397" w:rsidRPr="00B72488">
        <w:rPr>
          <w:sz w:val="40"/>
          <w:szCs w:val="40"/>
        </w:rPr>
        <w:t>000</w:t>
      </w:r>
      <w:r w:rsidR="008D3397" w:rsidRPr="00141A7C">
        <w:rPr>
          <w:sz w:val="40"/>
          <w:szCs w:val="40"/>
        </w:rPr>
        <w:t>0</w:t>
      </w:r>
      <w:r w:rsidR="0019715B" w:rsidRPr="00141A7C">
        <w:rPr>
          <w:sz w:val="40"/>
          <w:szCs w:val="40"/>
        </w:rPr>
        <w:t>0</w:t>
      </w:r>
      <w:r w:rsidR="008D3397" w:rsidRPr="00B72488">
        <w:rPr>
          <w:sz w:val="40"/>
          <w:szCs w:val="40"/>
        </w:rPr>
        <w:t>-001</w:t>
      </w:r>
      <w:r w:rsidR="008D3397" w:rsidRPr="00B72488">
        <w:rPr>
          <w:sz w:val="40"/>
          <w:szCs w:val="40"/>
        </w:rPr>
        <w:tab/>
      </w:r>
      <w:r w:rsidR="008D3397">
        <w:rPr>
          <w:sz w:val="40"/>
          <w:szCs w:val="40"/>
        </w:rPr>
        <w:t xml:space="preserve">  </w:t>
      </w:r>
      <w:r w:rsidR="0039228C">
        <w:rPr>
          <w:sz w:val="40"/>
          <w:szCs w:val="40"/>
        </w:rPr>
        <w:t xml:space="preserve">     </w:t>
      </w:r>
      <w:r w:rsidR="008D3397">
        <w:rPr>
          <w:sz w:val="40"/>
          <w:szCs w:val="40"/>
        </w:rPr>
        <w:t xml:space="preserve">  </w:t>
      </w:r>
      <w:r w:rsidR="008D3397" w:rsidRPr="00B72488">
        <w:rPr>
          <w:sz w:val="40"/>
          <w:szCs w:val="40"/>
        </w:rPr>
        <w:t>00</w:t>
      </w:r>
    </w:p>
    <w:p w:rsidR="008D3397" w:rsidRPr="00E353B0" w:rsidRDefault="008D3397" w:rsidP="008D3397">
      <w:pPr>
        <w:spacing w:after="0"/>
        <w:ind w:firstLine="708"/>
        <w:jc w:val="center"/>
        <w:rPr>
          <w:sz w:val="24"/>
          <w:szCs w:val="24"/>
        </w:rPr>
      </w:pPr>
    </w:p>
    <w:p w:rsidR="008D3397" w:rsidRPr="00131AC5" w:rsidRDefault="00267941" w:rsidP="008D3397">
      <w:pPr>
        <w:spacing w:after="0"/>
        <w:ind w:left="1134" w:hanging="426"/>
        <w:rPr>
          <w:b/>
        </w:rPr>
      </w:pPr>
      <w:r w:rsidRPr="00267941">
        <w:rPr>
          <w:b/>
        </w:rPr>
        <w:t xml:space="preserve">                  </w:t>
      </w:r>
      <w:r w:rsidR="008D3397" w:rsidRPr="00131AC5">
        <w:rPr>
          <w:b/>
          <w:u w:val="single"/>
        </w:rPr>
        <w:t xml:space="preserve">Symbol lokality </w:t>
      </w:r>
    </w:p>
    <w:p w:rsidR="001D29CF" w:rsidRPr="00131AC5" w:rsidRDefault="001D29CF" w:rsidP="008D3397">
      <w:pPr>
        <w:spacing w:after="0"/>
        <w:ind w:left="1134" w:hanging="426"/>
        <w:rPr>
          <w:b/>
        </w:rPr>
      </w:pPr>
    </w:p>
    <w:p w:rsidR="008D3397" w:rsidRPr="00D3091B" w:rsidRDefault="00267941" w:rsidP="00267941">
      <w:pPr>
        <w:spacing w:after="0"/>
        <w:rPr>
          <w:b/>
        </w:rPr>
      </w:pPr>
      <w:r w:rsidRPr="00267941">
        <w:rPr>
          <w:b/>
        </w:rPr>
        <w:t xml:space="preserve">                    </w:t>
      </w:r>
      <w:r w:rsidR="008D3397" w:rsidRPr="00131AC5">
        <w:rPr>
          <w:b/>
          <w:u w:val="single"/>
        </w:rPr>
        <w:t xml:space="preserve">Číslo </w:t>
      </w:r>
      <w:r>
        <w:rPr>
          <w:b/>
          <w:u w:val="single"/>
        </w:rPr>
        <w:t>P</w:t>
      </w:r>
      <w:r w:rsidR="006E1BDA">
        <w:rPr>
          <w:b/>
          <w:u w:val="single"/>
        </w:rPr>
        <w:t>R</w:t>
      </w:r>
      <w:r>
        <w:rPr>
          <w:b/>
          <w:u w:val="single"/>
        </w:rPr>
        <w:t>OVOZNÍHO SOUBORU</w:t>
      </w:r>
      <w:r w:rsidR="008D3397" w:rsidRPr="00D3091B">
        <w:rPr>
          <w:b/>
        </w:rPr>
        <w:t xml:space="preserve"> </w:t>
      </w:r>
    </w:p>
    <w:p w:rsidR="000A34A2" w:rsidRPr="00D3091B" w:rsidRDefault="000A34A2" w:rsidP="008D3397">
      <w:pPr>
        <w:spacing w:after="0"/>
        <w:ind w:left="425" w:firstLine="709"/>
        <w:rPr>
          <w:b/>
        </w:rPr>
      </w:pPr>
    </w:p>
    <w:p w:rsidR="00131AC5" w:rsidRPr="00131AC5" w:rsidRDefault="00D3091B" w:rsidP="00267941">
      <w:pPr>
        <w:spacing w:after="360"/>
        <w:rPr>
          <w:b/>
          <w:u w:val="single"/>
        </w:rPr>
      </w:pPr>
      <w:r w:rsidRPr="00D3091B">
        <w:rPr>
          <w:b/>
        </w:rPr>
        <w:t xml:space="preserve"> </w:t>
      </w:r>
      <w:r w:rsidR="008D3397" w:rsidRPr="00131AC5">
        <w:rPr>
          <w:b/>
          <w:u w:val="single"/>
        </w:rPr>
        <w:t>Číslo objektu z </w:t>
      </w:r>
      <w:proofErr w:type="gramStart"/>
      <w:r w:rsidR="008D3397" w:rsidRPr="00131AC5">
        <w:rPr>
          <w:b/>
          <w:u w:val="single"/>
        </w:rPr>
        <w:t xml:space="preserve">generelu </w:t>
      </w:r>
      <w:r w:rsidR="00267941">
        <w:rPr>
          <w:b/>
          <w:u w:val="single"/>
        </w:rPr>
        <w:t>, ČÍSLO</w:t>
      </w:r>
      <w:proofErr w:type="gramEnd"/>
      <w:r w:rsidR="00267941">
        <w:rPr>
          <w:b/>
          <w:u w:val="single"/>
        </w:rPr>
        <w:t xml:space="preserve"> STAVEBNÍHO OBJ.</w:t>
      </w:r>
    </w:p>
    <w:p w:rsidR="00131AC5" w:rsidRPr="00131AC5" w:rsidRDefault="00D3091B" w:rsidP="00D3091B">
      <w:pPr>
        <w:spacing w:after="360"/>
        <w:ind w:left="1416"/>
        <w:rPr>
          <w:b/>
        </w:rPr>
      </w:pPr>
      <w:r w:rsidRPr="00D3091B">
        <w:rPr>
          <w:b/>
        </w:rPr>
        <w:t xml:space="preserve">     </w:t>
      </w:r>
      <w:r w:rsidR="00DC6D48">
        <w:rPr>
          <w:b/>
        </w:rPr>
        <w:t xml:space="preserve">    </w:t>
      </w:r>
      <w:r w:rsidR="005822B1">
        <w:rPr>
          <w:b/>
        </w:rPr>
        <w:tab/>
      </w:r>
      <w:r w:rsidR="005822B1">
        <w:rPr>
          <w:b/>
        </w:rPr>
        <w:tab/>
      </w:r>
      <w:r w:rsidR="007618B9">
        <w:rPr>
          <w:b/>
        </w:rPr>
        <w:t xml:space="preserve">          </w:t>
      </w:r>
      <w:r w:rsidRPr="00D3091B">
        <w:rPr>
          <w:b/>
        </w:rPr>
        <w:t xml:space="preserve"> </w:t>
      </w:r>
      <w:r w:rsidR="001C19FE" w:rsidRPr="00131AC5">
        <w:rPr>
          <w:b/>
          <w:u w:val="single"/>
        </w:rPr>
        <w:t>Sekvenčn</w:t>
      </w:r>
      <w:r w:rsidR="00AA61CD" w:rsidRPr="00131AC5">
        <w:rPr>
          <w:b/>
          <w:u w:val="single"/>
        </w:rPr>
        <w:t>í číslo výkresu</w:t>
      </w:r>
    </w:p>
    <w:p w:rsidR="00131AC5" w:rsidRPr="00131AC5" w:rsidRDefault="00267941" w:rsidP="00257AFD">
      <w:pPr>
        <w:spacing w:after="360"/>
        <w:ind w:left="2832" w:firstLine="708"/>
        <w:rPr>
          <w:b/>
          <w:u w:val="single"/>
        </w:rPr>
      </w:pPr>
      <w:r w:rsidRPr="005D24C1">
        <w:rPr>
          <w:b/>
        </w:rPr>
        <w:t xml:space="preserve">      </w:t>
      </w:r>
      <w:r w:rsidR="008B77CD" w:rsidRPr="00141A7C">
        <w:rPr>
          <w:b/>
          <w:u w:val="single"/>
        </w:rPr>
        <w:t>Technologické</w:t>
      </w:r>
      <w:r w:rsidR="00273E2A" w:rsidRPr="00141A7C">
        <w:rPr>
          <w:b/>
          <w:u w:val="single"/>
        </w:rPr>
        <w:t xml:space="preserve"> číslo </w:t>
      </w:r>
      <w:r w:rsidR="008B77CD" w:rsidRPr="00141A7C">
        <w:rPr>
          <w:b/>
          <w:u w:val="single"/>
        </w:rPr>
        <w:t>aparátu</w:t>
      </w:r>
      <w:r w:rsidR="008B77CD">
        <w:rPr>
          <w:b/>
          <w:u w:val="single"/>
        </w:rPr>
        <w:t xml:space="preserve"> </w:t>
      </w:r>
    </w:p>
    <w:p w:rsidR="008D3397" w:rsidRPr="00131AC5" w:rsidRDefault="00267941" w:rsidP="008B77CD">
      <w:pPr>
        <w:spacing w:after="360"/>
        <w:ind w:left="4248"/>
        <w:rPr>
          <w:b/>
          <w:u w:val="single"/>
        </w:rPr>
      </w:pPr>
      <w:r w:rsidRPr="005D24C1">
        <w:rPr>
          <w:b/>
        </w:rPr>
        <w:t xml:space="preserve">          </w:t>
      </w:r>
      <w:r w:rsidR="008D3397" w:rsidRPr="00131AC5">
        <w:rPr>
          <w:b/>
          <w:u w:val="single"/>
        </w:rPr>
        <w:t>Pořadové číslo</w:t>
      </w:r>
      <w:r w:rsidR="002005E4" w:rsidRPr="00131AC5">
        <w:rPr>
          <w:b/>
          <w:u w:val="single"/>
        </w:rPr>
        <w:t xml:space="preserve"> dokumentu</w:t>
      </w:r>
    </w:p>
    <w:p w:rsidR="008D3397" w:rsidRPr="00131AC5" w:rsidRDefault="00267941" w:rsidP="00D3091B">
      <w:pPr>
        <w:ind w:left="6372" w:firstLine="708"/>
        <w:rPr>
          <w:b/>
        </w:rPr>
      </w:pPr>
      <w:r w:rsidRPr="005D24C1">
        <w:rPr>
          <w:b/>
        </w:rPr>
        <w:t xml:space="preserve">              </w:t>
      </w:r>
      <w:r w:rsidR="008D3397" w:rsidRPr="00131AC5">
        <w:rPr>
          <w:b/>
          <w:u w:val="single"/>
        </w:rPr>
        <w:t>Číslo revize</w:t>
      </w:r>
      <w:r w:rsidR="008D3397" w:rsidRPr="00131AC5">
        <w:rPr>
          <w:b/>
        </w:rPr>
        <w:t xml:space="preserve"> </w:t>
      </w:r>
    </w:p>
    <w:p w:rsidR="00AA61CD" w:rsidRPr="006F624C" w:rsidRDefault="00AA61CD" w:rsidP="00AA61CD">
      <w:pPr>
        <w:spacing w:after="0"/>
        <w:rPr>
          <w:b/>
          <w:u w:val="single"/>
        </w:rPr>
      </w:pPr>
      <w:r w:rsidRPr="006F624C">
        <w:rPr>
          <w:b/>
          <w:u w:val="single"/>
        </w:rPr>
        <w:t>Symbol lokality:</w:t>
      </w:r>
      <w:r w:rsidR="00267941">
        <w:rPr>
          <w:b/>
          <w:u w:val="single"/>
        </w:rPr>
        <w:t xml:space="preserve"> (písmena, dvoumístné)</w:t>
      </w:r>
    </w:p>
    <w:p w:rsidR="00AA61CD" w:rsidRDefault="00AA61CD" w:rsidP="00AA61CD">
      <w:pPr>
        <w:spacing w:after="0"/>
      </w:pPr>
      <w:r>
        <w:t xml:space="preserve">LO – </w:t>
      </w:r>
      <w:proofErr w:type="spellStart"/>
      <w:r>
        <w:t>Lovochemie</w:t>
      </w:r>
      <w:proofErr w:type="spellEnd"/>
      <w:r>
        <w:t xml:space="preserve"> a.s. Lovosice</w:t>
      </w:r>
    </w:p>
    <w:p w:rsidR="00AA61CD" w:rsidRDefault="00AA61CD" w:rsidP="00AA61CD">
      <w:pPr>
        <w:spacing w:after="0"/>
      </w:pPr>
      <w:r>
        <w:t>MK – provozovna Městec Králové</w:t>
      </w:r>
    </w:p>
    <w:p w:rsidR="00AA61CD" w:rsidRDefault="00AA61CD" w:rsidP="00AA61CD">
      <w:pPr>
        <w:spacing w:after="0"/>
      </w:pPr>
      <w:r>
        <w:t>PU – překladiště Ústí nad Labem</w:t>
      </w:r>
    </w:p>
    <w:p w:rsidR="00AA61CD" w:rsidRPr="005D24C1" w:rsidRDefault="00AA61CD" w:rsidP="00AA61CD">
      <w:pPr>
        <w:spacing w:after="0"/>
        <w:rPr>
          <w:b/>
        </w:rPr>
      </w:pPr>
      <w:r w:rsidRPr="005D24C1">
        <w:rPr>
          <w:b/>
        </w:rPr>
        <w:t>PR – P</w:t>
      </w:r>
      <w:r w:rsidR="005D24C1">
        <w:rPr>
          <w:b/>
        </w:rPr>
        <w:t>REOL</w:t>
      </w:r>
    </w:p>
    <w:p w:rsidR="00267941" w:rsidRPr="005D24C1" w:rsidRDefault="008E13CC" w:rsidP="00AA61CD">
      <w:pPr>
        <w:spacing w:after="0"/>
        <w:rPr>
          <w:b/>
        </w:rPr>
      </w:pPr>
      <w:r>
        <w:rPr>
          <w:b/>
        </w:rPr>
        <w:t xml:space="preserve">PF </w:t>
      </w:r>
      <w:r w:rsidRPr="005D24C1">
        <w:rPr>
          <w:b/>
        </w:rPr>
        <w:t xml:space="preserve">– </w:t>
      </w:r>
      <w:r w:rsidR="00267941" w:rsidRPr="005D24C1">
        <w:rPr>
          <w:b/>
        </w:rPr>
        <w:t xml:space="preserve"> PREOL FOOD</w:t>
      </w:r>
    </w:p>
    <w:p w:rsidR="00267941" w:rsidRDefault="00267941" w:rsidP="00EB3F79">
      <w:pPr>
        <w:spacing w:before="120" w:after="0"/>
        <w:rPr>
          <w:b/>
          <w:u w:val="single"/>
        </w:rPr>
      </w:pPr>
      <w:r w:rsidRPr="00131AC5">
        <w:rPr>
          <w:b/>
          <w:u w:val="single"/>
        </w:rPr>
        <w:t xml:space="preserve">Číslo </w:t>
      </w:r>
      <w:r>
        <w:rPr>
          <w:b/>
          <w:u w:val="single"/>
        </w:rPr>
        <w:t>P</w:t>
      </w:r>
      <w:r w:rsidR="006E1BDA">
        <w:rPr>
          <w:b/>
          <w:u w:val="single"/>
        </w:rPr>
        <w:t>R</w:t>
      </w:r>
      <w:r>
        <w:rPr>
          <w:b/>
          <w:u w:val="single"/>
        </w:rPr>
        <w:t>OVOZNÍHO SOUBORU (číslo, třímístné</w:t>
      </w:r>
      <w:r w:rsidR="005D24C1">
        <w:rPr>
          <w:b/>
          <w:u w:val="single"/>
        </w:rPr>
        <w:t xml:space="preserve"> bez tečky</w:t>
      </w:r>
      <w:r>
        <w:rPr>
          <w:b/>
          <w:u w:val="single"/>
        </w:rPr>
        <w:t>)</w:t>
      </w:r>
    </w:p>
    <w:p w:rsidR="007D1348" w:rsidRDefault="00267941" w:rsidP="007D1348">
      <w:pPr>
        <w:spacing w:after="0"/>
      </w:pPr>
      <w:r w:rsidRPr="00D3091B">
        <w:rPr>
          <w:b/>
        </w:rPr>
        <w:t xml:space="preserve"> </w:t>
      </w:r>
      <w:r w:rsidR="007D1348">
        <w:t xml:space="preserve">- číslo </w:t>
      </w:r>
      <w:r w:rsidR="001D3302">
        <w:t>P</w:t>
      </w:r>
      <w:r w:rsidR="005D24C1">
        <w:t xml:space="preserve">rovozního souboru dle PD </w:t>
      </w:r>
    </w:p>
    <w:p w:rsidR="005D24C1" w:rsidRPr="001D29CF" w:rsidRDefault="005D24C1" w:rsidP="007D1348">
      <w:pPr>
        <w:spacing w:after="0"/>
        <w:rPr>
          <w:u w:val="single"/>
        </w:rPr>
      </w:pPr>
      <w:r>
        <w:t>- značení a čísel</w:t>
      </w:r>
      <w:r w:rsidR="008E13CC">
        <w:t>nou řadu určí pro nové projekty</w:t>
      </w:r>
      <w:r>
        <w:t>, objekty - OI</w:t>
      </w:r>
    </w:p>
    <w:p w:rsidR="007D1348" w:rsidRDefault="007D1348" w:rsidP="005D24C1">
      <w:pPr>
        <w:spacing w:after="0"/>
      </w:pPr>
      <w:r>
        <w:t xml:space="preserve">- </w:t>
      </w:r>
      <w:r w:rsidR="008E13CC">
        <w:t>Příklady</w:t>
      </w:r>
      <w:r w:rsidR="005D24C1">
        <w:t>:</w:t>
      </w:r>
      <w:r w:rsidR="005D24C1">
        <w:tab/>
        <w:t xml:space="preserve">PS01.1 – příprava semene </w:t>
      </w:r>
      <w:r w:rsidR="005D24C1">
        <w:tab/>
      </w:r>
      <w:r w:rsidR="005D24C1">
        <w:tab/>
      </w:r>
      <w:r w:rsidR="001D3302">
        <w:t xml:space="preserve">značení </w:t>
      </w:r>
      <w:r w:rsidR="001D3302">
        <w:tab/>
      </w:r>
      <w:r w:rsidR="005D24C1">
        <w:t>011</w:t>
      </w:r>
    </w:p>
    <w:p w:rsidR="005D24C1" w:rsidRDefault="005D24C1" w:rsidP="005D24C1">
      <w:pPr>
        <w:spacing w:after="0"/>
      </w:pPr>
      <w:r>
        <w:tab/>
      </w:r>
      <w:r>
        <w:tab/>
        <w:t>PS07.1</w:t>
      </w:r>
      <w:r w:rsidR="008E13CC">
        <w:t xml:space="preserve"> – </w:t>
      </w:r>
      <w:r>
        <w:t>COV</w:t>
      </w:r>
      <w:r>
        <w:tab/>
      </w:r>
      <w:r>
        <w:tab/>
      </w:r>
      <w:r>
        <w:tab/>
      </w:r>
      <w:r>
        <w:tab/>
      </w:r>
      <w:r w:rsidR="001D3302">
        <w:t xml:space="preserve">značení </w:t>
      </w:r>
      <w:r w:rsidR="001D3302">
        <w:tab/>
      </w:r>
      <w:r>
        <w:t xml:space="preserve">071 </w:t>
      </w:r>
    </w:p>
    <w:p w:rsidR="00EB3F79" w:rsidRDefault="005D24C1" w:rsidP="00EB3F79">
      <w:pPr>
        <w:spacing w:after="120"/>
      </w:pPr>
      <w:r>
        <w:tab/>
      </w:r>
      <w:r w:rsidR="006E1BDA">
        <w:tab/>
        <w:t xml:space="preserve">PS </w:t>
      </w:r>
      <w:r w:rsidR="00141A7C">
        <w:t xml:space="preserve">22.1 rafinerie – </w:t>
      </w:r>
      <w:proofErr w:type="spellStart"/>
      <w:r w:rsidR="00141A7C">
        <w:t>MaR</w:t>
      </w:r>
      <w:proofErr w:type="spellEnd"/>
      <w:r w:rsidR="00141A7C">
        <w:tab/>
      </w:r>
      <w:r w:rsidR="00141A7C">
        <w:tab/>
      </w:r>
      <w:r w:rsidR="00141A7C">
        <w:tab/>
        <w:t xml:space="preserve">značení </w:t>
      </w:r>
      <w:r w:rsidR="00141A7C">
        <w:tab/>
        <w:t>221</w:t>
      </w:r>
    </w:p>
    <w:p w:rsidR="005D24C1" w:rsidRDefault="005D24C1" w:rsidP="00EB3F79">
      <w:pPr>
        <w:spacing w:after="120"/>
      </w:pPr>
      <w:r w:rsidRPr="00131AC5">
        <w:rPr>
          <w:b/>
          <w:u w:val="single"/>
        </w:rPr>
        <w:t>Číslo objektu z generelu</w:t>
      </w:r>
      <w:r>
        <w:rPr>
          <w:b/>
          <w:u w:val="single"/>
        </w:rPr>
        <w:t>, ČÍSLO STAVEBNÍHO OBJ.</w:t>
      </w:r>
      <w:r>
        <w:t xml:space="preserve"> (čí</w:t>
      </w:r>
      <w:r w:rsidR="001D3302">
        <w:t>s</w:t>
      </w:r>
      <w:r>
        <w:t>lo, čtyřmístné)</w:t>
      </w:r>
    </w:p>
    <w:p w:rsidR="005D24C1" w:rsidRDefault="005D24C1" w:rsidP="005D24C1">
      <w:pPr>
        <w:spacing w:after="0" w:line="240" w:lineRule="auto"/>
      </w:pPr>
      <w:r>
        <w:t>- číslo podle generelu, jedná se o číslo stavebního objektu</w:t>
      </w:r>
    </w:p>
    <w:p w:rsidR="001D3302" w:rsidRDefault="001D3302" w:rsidP="001D3302">
      <w:pPr>
        <w:spacing w:after="0"/>
      </w:pPr>
      <w:r>
        <w:t xml:space="preserve">- číslo Stavebního </w:t>
      </w:r>
      <w:proofErr w:type="gramStart"/>
      <w:r>
        <w:t>objektu  dle</w:t>
      </w:r>
      <w:proofErr w:type="gramEnd"/>
      <w:r>
        <w:t xml:space="preserve"> PD </w:t>
      </w:r>
    </w:p>
    <w:p w:rsidR="001D3302" w:rsidRDefault="001D3302" w:rsidP="001D3302">
      <w:pPr>
        <w:spacing w:after="0"/>
      </w:pPr>
      <w:r>
        <w:t xml:space="preserve">- značení a číselnou řadu určí pro nové </w:t>
      </w:r>
      <w:proofErr w:type="gramStart"/>
      <w:r>
        <w:t>projekty , objekty</w:t>
      </w:r>
      <w:proofErr w:type="gramEnd"/>
      <w:r>
        <w:t xml:space="preserve"> – OI</w:t>
      </w:r>
    </w:p>
    <w:p w:rsidR="001D3302" w:rsidRDefault="008E13CC" w:rsidP="001D3302">
      <w:pPr>
        <w:spacing w:after="0"/>
      </w:pPr>
      <w:r>
        <w:t xml:space="preserve">- Příklady: </w:t>
      </w:r>
      <w:r>
        <w:tab/>
        <w:t xml:space="preserve">SO 6010 – </w:t>
      </w:r>
      <w:r w:rsidR="001D3302">
        <w:t>lisovna</w:t>
      </w:r>
      <w:r w:rsidR="001D3302">
        <w:tab/>
      </w:r>
      <w:r w:rsidR="001D3302">
        <w:tab/>
      </w:r>
      <w:r w:rsidR="001D3302">
        <w:tab/>
        <w:t xml:space="preserve">značení </w:t>
      </w:r>
      <w:r w:rsidR="001D3302">
        <w:tab/>
        <w:t>6010</w:t>
      </w:r>
    </w:p>
    <w:p w:rsidR="00EB3F79" w:rsidRDefault="001D3302" w:rsidP="001D3302">
      <w:pPr>
        <w:spacing w:after="0"/>
      </w:pPr>
      <w:r>
        <w:tab/>
      </w:r>
      <w:r>
        <w:tab/>
        <w:t xml:space="preserve">SO 6320 – potrubní a kabelové mosty </w:t>
      </w:r>
      <w:r>
        <w:tab/>
        <w:t xml:space="preserve">značení </w:t>
      </w:r>
      <w:r>
        <w:tab/>
        <w:t>6320</w:t>
      </w:r>
      <w:r>
        <w:tab/>
      </w:r>
      <w:r>
        <w:tab/>
      </w:r>
    </w:p>
    <w:p w:rsidR="001D3302" w:rsidRDefault="008E13CC" w:rsidP="005D24C1">
      <w:pPr>
        <w:spacing w:after="0" w:line="240" w:lineRule="auto"/>
      </w:pPr>
      <w:r>
        <w:tab/>
      </w:r>
      <w:r>
        <w:tab/>
        <w:t xml:space="preserve">SO 6311 – </w:t>
      </w:r>
      <w:r w:rsidR="00E4405A">
        <w:t xml:space="preserve">rafinerie </w:t>
      </w:r>
      <w:r w:rsidR="00E4405A">
        <w:tab/>
      </w:r>
      <w:r w:rsidR="00E4405A">
        <w:tab/>
      </w:r>
      <w:r w:rsidR="00E4405A">
        <w:tab/>
        <w:t xml:space="preserve">značení </w:t>
      </w:r>
      <w:r w:rsidR="00E4405A">
        <w:tab/>
        <w:t>6311</w:t>
      </w:r>
    </w:p>
    <w:p w:rsidR="00EB3F79" w:rsidRDefault="00E4405A" w:rsidP="005D24C1">
      <w:pPr>
        <w:spacing w:after="0" w:line="240" w:lineRule="auto"/>
        <w:sectPr w:rsidR="00EB3F79" w:rsidSect="00EB3F79">
          <w:headerReference w:type="default" r:id="rId10"/>
          <w:footerReference w:type="default" r:id="rId11"/>
          <w:pgSz w:w="11906" w:h="16838"/>
          <w:pgMar w:top="851" w:right="1417" w:bottom="709" w:left="1417" w:header="426" w:footer="545" w:gutter="0"/>
          <w:cols w:space="708"/>
          <w:docGrid w:linePitch="360"/>
        </w:sectPr>
      </w:pPr>
      <w:r>
        <w:tab/>
      </w:r>
      <w:r>
        <w:tab/>
        <w:t>SO  6312 rafiner</w:t>
      </w:r>
      <w:r w:rsidR="00EB3F79">
        <w:t xml:space="preserve">ie – sklad olejů </w:t>
      </w:r>
      <w:r w:rsidR="00EB3F79">
        <w:tab/>
      </w:r>
      <w:r w:rsidR="00EB3F79">
        <w:tab/>
        <w:t xml:space="preserve">značení </w:t>
      </w:r>
      <w:r w:rsidR="00EB3F79">
        <w:tab/>
        <w:t>631</w:t>
      </w:r>
      <w:r w:rsidR="00DE5FDE">
        <w:t>2</w:t>
      </w:r>
    </w:p>
    <w:p w:rsidR="006F624C" w:rsidRDefault="007D1348" w:rsidP="006F624C">
      <w:pPr>
        <w:spacing w:after="0"/>
        <w:rPr>
          <w:u w:val="single"/>
        </w:rPr>
      </w:pPr>
      <w:r w:rsidRPr="006F624C">
        <w:rPr>
          <w:b/>
          <w:u w:val="single"/>
        </w:rPr>
        <w:lastRenderedPageBreak/>
        <w:t>Sekvenční číslo výkresu</w:t>
      </w:r>
      <w:r>
        <w:rPr>
          <w:u w:val="single"/>
        </w:rPr>
        <w:t xml:space="preserve"> </w:t>
      </w:r>
      <w:r w:rsidR="00E4405A">
        <w:rPr>
          <w:u w:val="single"/>
        </w:rPr>
        <w:t>(</w:t>
      </w:r>
      <w:r w:rsidR="00D9221D">
        <w:rPr>
          <w:u w:val="single"/>
        </w:rPr>
        <w:t>třímístné číslo)</w:t>
      </w:r>
    </w:p>
    <w:p w:rsidR="00D9221D" w:rsidRDefault="007D1348" w:rsidP="001D3302">
      <w:pPr>
        <w:spacing w:after="0" w:line="240" w:lineRule="auto"/>
      </w:pPr>
      <w:r>
        <w:t xml:space="preserve">- číslo podle číselníku </w:t>
      </w:r>
      <w:r w:rsidR="001D3302">
        <w:t xml:space="preserve">PREOL  a PREOL FOOD </w:t>
      </w:r>
      <w:r>
        <w:t>(tři číslice)</w:t>
      </w:r>
      <w:r>
        <w:tab/>
      </w:r>
    </w:p>
    <w:p w:rsidR="007D1348" w:rsidRDefault="00D9221D" w:rsidP="001D3302">
      <w:pPr>
        <w:spacing w:after="0" w:line="240" w:lineRule="auto"/>
      </w:pPr>
      <w:r>
        <w:t>(zde je rozdíl od značení v</w:t>
      </w:r>
      <w:r w:rsidR="00E4405A">
        <w:t> </w:t>
      </w:r>
      <w:r>
        <w:t>LCH</w:t>
      </w:r>
      <w:r w:rsidR="00E4405A">
        <w:t>, která používá jiné číslování</w:t>
      </w:r>
      <w:r>
        <w:t>)</w:t>
      </w:r>
      <w:r w:rsidR="007D1348">
        <w:br/>
        <w:t xml:space="preserve">- určí </w:t>
      </w:r>
      <w:r w:rsidR="00ED0632">
        <w:t>projektant podle</w:t>
      </w:r>
      <w:r w:rsidR="007D1348">
        <w:t xml:space="preserve"> číselníku LCH </w:t>
      </w:r>
      <w:r w:rsidR="001D3302">
        <w:t>a PREOL  a PREOL FOOD</w:t>
      </w:r>
      <w:r w:rsidR="00141A7C">
        <w:t xml:space="preserve"> (uvedeno níže)</w:t>
      </w:r>
    </w:p>
    <w:p w:rsidR="001D3302" w:rsidRDefault="001D3302" w:rsidP="001D3302">
      <w:pPr>
        <w:spacing w:after="0" w:line="240" w:lineRule="auto"/>
      </w:pPr>
      <w:r>
        <w:t>- sekvenční</w:t>
      </w:r>
      <w:r w:rsidR="00860048">
        <w:t xml:space="preserve"> číslo </w:t>
      </w:r>
      <w:r w:rsidR="00E4405A">
        <w:t>pro PREOL</w:t>
      </w:r>
      <w:r w:rsidR="0005545E">
        <w:t xml:space="preserve"> </w:t>
      </w:r>
      <w:r w:rsidR="00E4405A">
        <w:t xml:space="preserve">a PREOL FOOD </w:t>
      </w:r>
      <w:r w:rsidR="00860048">
        <w:t>je</w:t>
      </w:r>
      <w:r w:rsidR="00E4405A">
        <w:t xml:space="preserve"> tvořeno a</w:t>
      </w:r>
      <w:r w:rsidR="00860048">
        <w:t xml:space="preserve"> </w:t>
      </w:r>
      <w:r w:rsidR="00E4405A">
        <w:t xml:space="preserve">stanoveno </w:t>
      </w:r>
      <w:r w:rsidR="00860048">
        <w:t xml:space="preserve">následovně: </w:t>
      </w:r>
    </w:p>
    <w:p w:rsidR="00EB3F79" w:rsidRDefault="00EB3F79" w:rsidP="00E4405A">
      <w:pPr>
        <w:spacing w:after="0" w:line="240" w:lineRule="auto"/>
      </w:pPr>
    </w:p>
    <w:tbl>
      <w:tblPr>
        <w:tblStyle w:val="Mkatabulky"/>
        <w:tblW w:w="0" w:type="auto"/>
        <w:tblLook w:val="04A0"/>
      </w:tblPr>
      <w:tblGrid>
        <w:gridCol w:w="1134"/>
        <w:gridCol w:w="1101"/>
        <w:gridCol w:w="567"/>
        <w:gridCol w:w="1701"/>
        <w:gridCol w:w="425"/>
        <w:gridCol w:w="2268"/>
        <w:gridCol w:w="2410"/>
        <w:gridCol w:w="2126"/>
        <w:gridCol w:w="1843"/>
        <w:gridCol w:w="1919"/>
      </w:tblGrid>
      <w:tr w:rsidR="00DE5FDE" w:rsidRPr="00EB3F79" w:rsidTr="002E04F6">
        <w:trPr>
          <w:trHeight w:val="585"/>
        </w:trPr>
        <w:tc>
          <w:tcPr>
            <w:tcW w:w="1134" w:type="dxa"/>
            <w:vMerge w:val="restart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r w:rsidRPr="00EB3F79">
              <w:rPr>
                <w:b/>
                <w:bCs/>
              </w:rPr>
              <w:t>Sekvenční číslo</w:t>
            </w:r>
          </w:p>
        </w:tc>
        <w:tc>
          <w:tcPr>
            <w:tcW w:w="1101" w:type="dxa"/>
            <w:vMerge w:val="restart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r w:rsidRPr="00EB3F79">
              <w:rPr>
                <w:b/>
                <w:bCs/>
              </w:rPr>
              <w:t>Původní značení</w:t>
            </w:r>
          </w:p>
        </w:tc>
        <w:tc>
          <w:tcPr>
            <w:tcW w:w="2268" w:type="dxa"/>
            <w:gridSpan w:val="2"/>
            <w:vMerge w:val="restart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r w:rsidRPr="00EB3F79">
              <w:rPr>
                <w:b/>
                <w:bCs/>
              </w:rPr>
              <w:t>II.</w:t>
            </w:r>
            <w:r w:rsidR="008E13CC">
              <w:rPr>
                <w:b/>
                <w:bCs/>
              </w:rPr>
              <w:t xml:space="preserve"> </w:t>
            </w:r>
            <w:r w:rsidRPr="00EB3F79">
              <w:rPr>
                <w:b/>
                <w:bCs/>
              </w:rPr>
              <w:t>pozice (x)</w:t>
            </w:r>
          </w:p>
        </w:tc>
        <w:tc>
          <w:tcPr>
            <w:tcW w:w="10991" w:type="dxa"/>
            <w:gridSpan w:val="6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r w:rsidRPr="00EB3F79">
              <w:rPr>
                <w:b/>
                <w:bCs/>
              </w:rPr>
              <w:t>III.</w:t>
            </w:r>
            <w:r w:rsidR="008E13CC">
              <w:rPr>
                <w:b/>
                <w:bCs/>
              </w:rPr>
              <w:t xml:space="preserve"> </w:t>
            </w:r>
            <w:r w:rsidRPr="00EB3F79">
              <w:rPr>
                <w:b/>
                <w:bCs/>
              </w:rPr>
              <w:t>pozice (y)</w:t>
            </w: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vMerge/>
            <w:hideMark/>
          </w:tcPr>
          <w:p w:rsidR="00DE5FDE" w:rsidRPr="00EB3F79" w:rsidRDefault="00DE5FDE" w:rsidP="00EB3F79">
            <w:pPr>
              <w:rPr>
                <w:b/>
                <w:bCs/>
              </w:rPr>
            </w:pPr>
          </w:p>
        </w:tc>
        <w:tc>
          <w:tcPr>
            <w:tcW w:w="1101" w:type="dxa"/>
            <w:vMerge/>
            <w:hideMark/>
          </w:tcPr>
          <w:p w:rsidR="00DE5FDE" w:rsidRPr="00EB3F79" w:rsidRDefault="00DE5FDE" w:rsidP="00EB3F79">
            <w:pPr>
              <w:rPr>
                <w:b/>
                <w:bCs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:rsidR="00DE5FDE" w:rsidRPr="00EB3F79" w:rsidRDefault="00DE5FDE" w:rsidP="00EB3F79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r w:rsidRPr="00EB3F79">
              <w:rPr>
                <w:b/>
                <w:bCs/>
              </w:rPr>
              <w:t>Strojní</w:t>
            </w:r>
          </w:p>
        </w:tc>
        <w:tc>
          <w:tcPr>
            <w:tcW w:w="2410" w:type="dxa"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proofErr w:type="spellStart"/>
            <w:r w:rsidRPr="00EB3F79">
              <w:rPr>
                <w:b/>
                <w:bCs/>
              </w:rPr>
              <w:t>Elektro</w:t>
            </w:r>
            <w:proofErr w:type="spellEnd"/>
          </w:p>
        </w:tc>
        <w:tc>
          <w:tcPr>
            <w:tcW w:w="2126" w:type="dxa"/>
            <w:noWrap/>
            <w:vAlign w:val="center"/>
            <w:hideMark/>
          </w:tcPr>
          <w:p w:rsidR="00DE5FDE" w:rsidRPr="00EB3F79" w:rsidRDefault="00DE5FDE" w:rsidP="00EB3F79">
            <w:pPr>
              <w:jc w:val="center"/>
              <w:rPr>
                <w:b/>
                <w:bCs/>
              </w:rPr>
            </w:pPr>
            <w:proofErr w:type="spellStart"/>
            <w:r w:rsidRPr="00EB3F79">
              <w:rPr>
                <w:b/>
                <w:bCs/>
              </w:rPr>
              <w:t>MaR</w:t>
            </w:r>
            <w:proofErr w:type="spellEnd"/>
          </w:p>
        </w:tc>
        <w:tc>
          <w:tcPr>
            <w:tcW w:w="1843" w:type="dxa"/>
            <w:vAlign w:val="center"/>
          </w:tcPr>
          <w:p w:rsidR="00DE5FDE" w:rsidRPr="00EB3F79" w:rsidRDefault="00DE5FDE" w:rsidP="00DE5F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Stavební</w:t>
            </w:r>
          </w:p>
        </w:tc>
        <w:tc>
          <w:tcPr>
            <w:tcW w:w="1919" w:type="dxa"/>
            <w:vAlign w:val="center"/>
          </w:tcPr>
          <w:p w:rsidR="00DE5FDE" w:rsidRPr="00EB3F79" w:rsidRDefault="00DE5FDE" w:rsidP="00DE5F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Obecné</w:t>
            </w: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JSD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0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 xml:space="preserve"> technologie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0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Technická zpráva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Technická zpráva</w:t>
            </w:r>
          </w:p>
        </w:tc>
        <w:tc>
          <w:tcPr>
            <w:tcW w:w="2126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Technická zpráva</w:t>
            </w:r>
          </w:p>
        </w:tc>
        <w:tc>
          <w:tcPr>
            <w:tcW w:w="1843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Technická zpráva</w:t>
            </w:r>
          </w:p>
          <w:p w:rsidR="00DE5FDE" w:rsidRPr="00EB3F79" w:rsidRDefault="00DE5FDE" w:rsidP="00EB3F79">
            <w:pPr>
              <w:rPr>
                <w:i/>
                <w:iCs/>
              </w:rPr>
            </w:pPr>
          </w:p>
        </w:tc>
        <w:tc>
          <w:tcPr>
            <w:tcW w:w="1919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Technická zpráva</w:t>
            </w:r>
          </w:p>
          <w:p w:rsidR="00DE5FDE" w:rsidRPr="00EB3F79" w:rsidRDefault="00DE5FDE" w:rsidP="00EB3F79">
            <w:pPr>
              <w:rPr>
                <w:i/>
                <w:iCs/>
              </w:rPr>
            </w:pP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MTO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1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 xml:space="preserve"> Strojní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1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Výkaz materiálu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Výkaz materiálu/Specifikace</w:t>
            </w:r>
          </w:p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r w:rsidRPr="00EB3F79">
              <w:t>Výkaz materiálu</w:t>
            </w:r>
          </w:p>
        </w:tc>
        <w:tc>
          <w:tcPr>
            <w:tcW w:w="1843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Výkaz výměr</w:t>
            </w:r>
          </w:p>
          <w:p w:rsidR="00DE5FDE" w:rsidRPr="00EB3F79" w:rsidRDefault="00DE5FDE" w:rsidP="00EB3F79"/>
        </w:tc>
        <w:tc>
          <w:tcPr>
            <w:tcW w:w="1919" w:type="dxa"/>
          </w:tcPr>
          <w:p w:rsidR="00DE5FDE" w:rsidRPr="00DE5FDE" w:rsidRDefault="00DE5FDE" w:rsidP="00EB3F79">
            <w:pPr>
              <w:rPr>
                <w:i/>
                <w:iCs/>
              </w:rPr>
            </w:pPr>
            <w:r>
              <w:rPr>
                <w:i/>
                <w:iCs/>
              </w:rPr>
              <w:t>Výkaz mater</w:t>
            </w:r>
            <w:r w:rsidRPr="00DE5FDE">
              <w:rPr>
                <w:i/>
                <w:iCs/>
              </w:rPr>
              <w:t>iálů</w:t>
            </w:r>
          </w:p>
        </w:tc>
      </w:tr>
      <w:tr w:rsidR="00DE5FDE" w:rsidRPr="00EB3F79" w:rsidTr="002E04F6">
        <w:trPr>
          <w:trHeight w:val="61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MR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2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Potrubí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2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Materiálová rekvizice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Materiálová rekvizice</w:t>
            </w:r>
          </w:p>
        </w:tc>
        <w:tc>
          <w:tcPr>
            <w:tcW w:w="2126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Materiálová rekvizice</w:t>
            </w:r>
          </w:p>
        </w:tc>
        <w:tc>
          <w:tcPr>
            <w:tcW w:w="1843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Specifikace materiálů</w:t>
            </w:r>
          </w:p>
        </w:tc>
        <w:tc>
          <w:tcPr>
            <w:tcW w:w="1919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Materiálová rekviz</w:t>
            </w:r>
            <w:r>
              <w:rPr>
                <w:i/>
                <w:iCs/>
              </w:rPr>
              <w:t>i</w:t>
            </w:r>
            <w:r w:rsidRPr="00DE5FDE">
              <w:rPr>
                <w:i/>
                <w:iCs/>
              </w:rPr>
              <w:t>ce</w:t>
            </w:r>
          </w:p>
        </w:tc>
      </w:tr>
      <w:tr w:rsidR="00DE5FDE" w:rsidRPr="00EB3F79" w:rsidTr="002E04F6">
        <w:trPr>
          <w:trHeight w:val="532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CN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3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Stavební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3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Výpočty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Výpočty</w:t>
            </w:r>
          </w:p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r w:rsidRPr="00EB3F79">
              <w:t> </w:t>
            </w:r>
          </w:p>
        </w:tc>
        <w:tc>
          <w:tcPr>
            <w:tcW w:w="1843" w:type="dxa"/>
          </w:tcPr>
          <w:p w:rsidR="00DE5FDE" w:rsidRPr="00DE5FDE" w:rsidRDefault="00DE5FDE" w:rsidP="00EB3F79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Statické výpočty</w:t>
            </w:r>
          </w:p>
        </w:tc>
        <w:tc>
          <w:tcPr>
            <w:tcW w:w="1919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Výpočty</w:t>
            </w:r>
          </w:p>
          <w:p w:rsidR="00DE5FDE" w:rsidRPr="00EB3F79" w:rsidRDefault="00DE5FDE" w:rsidP="00EB3F79"/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DW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4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Elektro</w:t>
            </w:r>
            <w:proofErr w:type="spellEnd"/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4</w:t>
            </w:r>
          </w:p>
        </w:tc>
        <w:tc>
          <w:tcPr>
            <w:tcW w:w="2268" w:type="dxa"/>
            <w:noWrap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Výkres</w:t>
            </w:r>
          </w:p>
        </w:tc>
        <w:tc>
          <w:tcPr>
            <w:tcW w:w="2410" w:type="dxa"/>
            <w:noWrap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Schéma zapojení/Dispozice</w:t>
            </w:r>
          </w:p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Schéma zapojení</w:t>
            </w:r>
          </w:p>
        </w:tc>
        <w:tc>
          <w:tcPr>
            <w:tcW w:w="1843" w:type="dxa"/>
          </w:tcPr>
          <w:p w:rsidR="00DE5FDE" w:rsidRPr="00DE5FDE" w:rsidRDefault="00DE5FDE" w:rsidP="00DE5FDE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Výkresy</w:t>
            </w:r>
          </w:p>
          <w:p w:rsidR="00DE5FDE" w:rsidRPr="00EB3F79" w:rsidRDefault="00DE5FDE" w:rsidP="00EB3F79">
            <w:pPr>
              <w:rPr>
                <w:i/>
                <w:iCs/>
              </w:rPr>
            </w:pPr>
          </w:p>
        </w:tc>
        <w:tc>
          <w:tcPr>
            <w:tcW w:w="1919" w:type="dxa"/>
          </w:tcPr>
          <w:p w:rsidR="00DE5FDE" w:rsidRDefault="00DE5FDE" w:rsidP="00DE5FDE">
            <w:pPr>
              <w:rPr>
                <w:rFonts w:ascii="Calibri" w:hAnsi="Calibri" w:cs="Calibri"/>
                <w:color w:val="000000"/>
              </w:rPr>
            </w:pPr>
            <w:r w:rsidRPr="00DE5FDE">
              <w:rPr>
                <w:i/>
                <w:iCs/>
              </w:rPr>
              <w:t>Výkresy</w:t>
            </w:r>
          </w:p>
          <w:p w:rsidR="00DE5FDE" w:rsidRPr="00EB3F79" w:rsidRDefault="00DE5FDE" w:rsidP="00EB3F79">
            <w:pPr>
              <w:rPr>
                <w:i/>
                <w:iCs/>
              </w:rPr>
            </w:pPr>
          </w:p>
        </w:tc>
      </w:tr>
      <w:tr w:rsidR="00DE5FDE" w:rsidRPr="00EB3F79" w:rsidTr="002E04F6">
        <w:trPr>
          <w:trHeight w:val="679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PDS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5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MaR</w:t>
            </w:r>
            <w:proofErr w:type="spellEnd"/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5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Process</w:t>
            </w:r>
            <w:proofErr w:type="spellEnd"/>
            <w:r w:rsidRPr="00EB3F79">
              <w:rPr>
                <w:i/>
                <w:iCs/>
              </w:rPr>
              <w:t xml:space="preserve"> Data </w:t>
            </w:r>
            <w:proofErr w:type="spellStart"/>
            <w:r w:rsidRPr="00EB3F79">
              <w:rPr>
                <w:i/>
                <w:iCs/>
              </w:rPr>
              <w:t>Sheet</w:t>
            </w:r>
            <w:proofErr w:type="spellEnd"/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Process</w:t>
            </w:r>
            <w:proofErr w:type="spellEnd"/>
            <w:r w:rsidRPr="00EB3F79">
              <w:rPr>
                <w:i/>
                <w:iCs/>
              </w:rPr>
              <w:t xml:space="preserve"> Data </w:t>
            </w:r>
            <w:proofErr w:type="spellStart"/>
            <w:r w:rsidRPr="00EB3F79">
              <w:rPr>
                <w:i/>
                <w:iCs/>
              </w:rPr>
              <w:t>Sheet</w:t>
            </w:r>
            <w:proofErr w:type="spellEnd"/>
          </w:p>
        </w:tc>
        <w:tc>
          <w:tcPr>
            <w:tcW w:w="2126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Process</w:t>
            </w:r>
            <w:proofErr w:type="spellEnd"/>
            <w:r w:rsidRPr="00EB3F79">
              <w:rPr>
                <w:i/>
                <w:iCs/>
              </w:rPr>
              <w:t xml:space="preserve"> Data </w:t>
            </w:r>
            <w:proofErr w:type="spellStart"/>
            <w:r w:rsidRPr="00EB3F79">
              <w:rPr>
                <w:i/>
                <w:iCs/>
              </w:rPr>
              <w:t>Sheet</w:t>
            </w:r>
            <w:proofErr w:type="spellEnd"/>
          </w:p>
        </w:tc>
        <w:tc>
          <w:tcPr>
            <w:tcW w:w="1843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DE5FDE">
              <w:rPr>
                <w:i/>
                <w:iCs/>
              </w:rPr>
              <w:t>Výsledky průzkumů</w:t>
            </w:r>
          </w:p>
        </w:tc>
        <w:tc>
          <w:tcPr>
            <w:tcW w:w="1919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PFD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6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Apli.soft</w:t>
            </w:r>
            <w:proofErr w:type="spellEnd"/>
            <w:r w:rsidRPr="00EB3F79">
              <w:rPr>
                <w:i/>
                <w:iCs/>
              </w:rPr>
              <w:t>.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6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proofErr w:type="spellStart"/>
            <w:r w:rsidRPr="00EB3F79">
              <w:rPr>
                <w:i/>
                <w:iCs/>
              </w:rPr>
              <w:t>Process</w:t>
            </w:r>
            <w:proofErr w:type="spellEnd"/>
            <w:r w:rsidRPr="00EB3F79">
              <w:rPr>
                <w:i/>
                <w:iCs/>
              </w:rPr>
              <w:t xml:space="preserve">  </w:t>
            </w:r>
            <w:proofErr w:type="spellStart"/>
            <w:r w:rsidRPr="00EB3F79">
              <w:rPr>
                <w:i/>
                <w:iCs/>
              </w:rPr>
              <w:t>Flow</w:t>
            </w:r>
            <w:proofErr w:type="spellEnd"/>
            <w:r w:rsidRPr="00EB3F79">
              <w:rPr>
                <w:i/>
                <w:iCs/>
              </w:rPr>
              <w:t xml:space="preserve"> Diagram</w:t>
            </w:r>
          </w:p>
        </w:tc>
        <w:tc>
          <w:tcPr>
            <w:tcW w:w="2410" w:type="dxa"/>
            <w:noWrap/>
            <w:hideMark/>
          </w:tcPr>
          <w:p w:rsidR="00DE5FDE" w:rsidRPr="00EB3F79" w:rsidRDefault="00DE5FDE" w:rsidP="00EB3F79"/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Dispozice</w:t>
            </w:r>
          </w:p>
        </w:tc>
        <w:tc>
          <w:tcPr>
            <w:tcW w:w="1843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</w:p>
        </w:tc>
        <w:tc>
          <w:tcPr>
            <w:tcW w:w="1919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PID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7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Oper.</w:t>
            </w:r>
            <w:r w:rsidR="008E13CC">
              <w:rPr>
                <w:i/>
                <w:iCs/>
              </w:rPr>
              <w:t xml:space="preserve"> </w:t>
            </w:r>
            <w:proofErr w:type="gramStart"/>
            <w:r w:rsidRPr="00EB3F79">
              <w:rPr>
                <w:i/>
                <w:iCs/>
              </w:rPr>
              <w:t>man</w:t>
            </w:r>
            <w:proofErr w:type="gramEnd"/>
            <w:r w:rsidRPr="00EB3F79">
              <w:rPr>
                <w:i/>
                <w:iCs/>
              </w:rPr>
              <w:t>.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7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 + i Diagram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Prohlášení o shodě</w:t>
            </w:r>
          </w:p>
        </w:tc>
        <w:tc>
          <w:tcPr>
            <w:tcW w:w="2126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P + i Diagram</w:t>
            </w:r>
          </w:p>
        </w:tc>
        <w:tc>
          <w:tcPr>
            <w:tcW w:w="1843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</w:p>
        </w:tc>
        <w:tc>
          <w:tcPr>
            <w:tcW w:w="1919" w:type="dxa"/>
          </w:tcPr>
          <w:p w:rsidR="00DE5FDE" w:rsidRPr="00EB3F79" w:rsidRDefault="00DE5FDE" w:rsidP="00EB3F79">
            <w:pPr>
              <w:rPr>
                <w:i/>
                <w:iCs/>
              </w:rPr>
            </w:pPr>
          </w:p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IZO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8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Dokument list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8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Izometrie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Určení vlivů/Revize</w:t>
            </w:r>
          </w:p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r w:rsidRPr="00EB3F79">
              <w:t> </w:t>
            </w:r>
          </w:p>
        </w:tc>
        <w:tc>
          <w:tcPr>
            <w:tcW w:w="1843" w:type="dxa"/>
          </w:tcPr>
          <w:p w:rsidR="00DE5FDE" w:rsidRPr="00EB3F79" w:rsidRDefault="00DE5FDE" w:rsidP="00EB3F79"/>
        </w:tc>
        <w:tc>
          <w:tcPr>
            <w:tcW w:w="1919" w:type="dxa"/>
          </w:tcPr>
          <w:p w:rsidR="00DE5FDE" w:rsidRPr="00EB3F79" w:rsidRDefault="00DE5FDE" w:rsidP="00EB3F79"/>
        </w:tc>
      </w:tr>
      <w:tr w:rsidR="00DE5FDE" w:rsidRPr="00EB3F79" w:rsidTr="002E04F6">
        <w:trPr>
          <w:trHeight w:val="585"/>
        </w:trPr>
        <w:tc>
          <w:tcPr>
            <w:tcW w:w="1134" w:type="dxa"/>
            <w:hideMark/>
          </w:tcPr>
          <w:p w:rsidR="00DE5FDE" w:rsidRPr="00EB3F79" w:rsidRDefault="00DE5FDE" w:rsidP="00EB3F79">
            <w:r w:rsidRPr="00EB3F79">
              <w:t>8xy</w:t>
            </w:r>
          </w:p>
        </w:tc>
        <w:tc>
          <w:tcPr>
            <w:tcW w:w="11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RDDS</w:t>
            </w:r>
          </w:p>
        </w:tc>
        <w:tc>
          <w:tcPr>
            <w:tcW w:w="567" w:type="dxa"/>
            <w:hideMark/>
          </w:tcPr>
          <w:p w:rsidR="00DE5FDE" w:rsidRPr="00EB3F79" w:rsidRDefault="00DE5FDE" w:rsidP="00EB3F79">
            <w:r w:rsidRPr="00EB3F79">
              <w:t>9</w:t>
            </w:r>
          </w:p>
        </w:tc>
        <w:tc>
          <w:tcPr>
            <w:tcW w:w="1701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 </w:t>
            </w:r>
            <w:r>
              <w:rPr>
                <w:i/>
                <w:iCs/>
              </w:rPr>
              <w:t>Obecné</w:t>
            </w:r>
          </w:p>
        </w:tc>
        <w:tc>
          <w:tcPr>
            <w:tcW w:w="425" w:type="dxa"/>
            <w:hideMark/>
          </w:tcPr>
          <w:p w:rsidR="00DE5FDE" w:rsidRPr="00EB3F79" w:rsidRDefault="00DE5FDE" w:rsidP="00EB3F79">
            <w:r w:rsidRPr="00EB3F79">
              <w:t>9</w:t>
            </w:r>
          </w:p>
        </w:tc>
        <w:tc>
          <w:tcPr>
            <w:tcW w:w="2268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Seznam požadované dokumentace</w:t>
            </w:r>
          </w:p>
        </w:tc>
        <w:tc>
          <w:tcPr>
            <w:tcW w:w="2410" w:type="dxa"/>
            <w:hideMark/>
          </w:tcPr>
          <w:p w:rsidR="00DE5FDE" w:rsidRPr="00EB3F79" w:rsidRDefault="00DE5FDE" w:rsidP="00EB3F79">
            <w:pPr>
              <w:rPr>
                <w:i/>
                <w:iCs/>
              </w:rPr>
            </w:pPr>
            <w:r w:rsidRPr="00EB3F79">
              <w:rPr>
                <w:i/>
                <w:iCs/>
              </w:rPr>
              <w:t>Soupis/Seznam</w:t>
            </w:r>
          </w:p>
        </w:tc>
        <w:tc>
          <w:tcPr>
            <w:tcW w:w="2126" w:type="dxa"/>
            <w:noWrap/>
            <w:hideMark/>
          </w:tcPr>
          <w:p w:rsidR="00DE5FDE" w:rsidRPr="00EB3F79" w:rsidRDefault="00DE5FDE" w:rsidP="00EB3F79">
            <w:r w:rsidRPr="00EB3F79">
              <w:t> </w:t>
            </w:r>
          </w:p>
        </w:tc>
        <w:tc>
          <w:tcPr>
            <w:tcW w:w="1843" w:type="dxa"/>
          </w:tcPr>
          <w:p w:rsidR="00DE5FDE" w:rsidRPr="00EB3F79" w:rsidRDefault="00DE5FDE" w:rsidP="00EB3F79"/>
        </w:tc>
        <w:tc>
          <w:tcPr>
            <w:tcW w:w="1919" w:type="dxa"/>
          </w:tcPr>
          <w:p w:rsidR="00DE5FDE" w:rsidRPr="00EB3F79" w:rsidRDefault="00DE5FDE" w:rsidP="00EB3F79"/>
        </w:tc>
      </w:tr>
    </w:tbl>
    <w:p w:rsidR="00EB3F79" w:rsidRPr="00EB3F79" w:rsidRDefault="00EB3F79" w:rsidP="00EB3F79">
      <w:pPr>
        <w:spacing w:after="0" w:line="240" w:lineRule="auto"/>
        <w:sectPr w:rsidR="00EB3F79" w:rsidRPr="00EB3F79" w:rsidSect="00DE5FDE">
          <w:pgSz w:w="16838" w:h="11906" w:orient="landscape"/>
          <w:pgMar w:top="993" w:right="851" w:bottom="1417" w:left="709" w:header="426" w:footer="545" w:gutter="0"/>
          <w:cols w:space="708"/>
          <w:docGrid w:linePitch="360"/>
        </w:sectPr>
      </w:pPr>
    </w:p>
    <w:p w:rsidR="00D9221D" w:rsidRDefault="00ED0632" w:rsidP="00E4405A">
      <w:pPr>
        <w:spacing w:after="0" w:line="240" w:lineRule="auto"/>
      </w:pPr>
      <w:r w:rsidRPr="003F5248">
        <w:rPr>
          <w:b/>
          <w:u w:val="single"/>
        </w:rPr>
        <w:lastRenderedPageBreak/>
        <w:t xml:space="preserve">Technologické číslo </w:t>
      </w:r>
      <w:r w:rsidR="00D9221D">
        <w:rPr>
          <w:b/>
          <w:u w:val="single"/>
        </w:rPr>
        <w:t xml:space="preserve">(jedno nebo dvě písmena, </w:t>
      </w:r>
      <w:r w:rsidR="00CA12D7">
        <w:rPr>
          <w:b/>
          <w:u w:val="single"/>
        </w:rPr>
        <w:t xml:space="preserve">čtyři </w:t>
      </w:r>
      <w:proofErr w:type="gramStart"/>
      <w:r w:rsidR="00CA12D7">
        <w:rPr>
          <w:b/>
          <w:u w:val="single"/>
        </w:rPr>
        <w:t>čísla, ..)</w:t>
      </w:r>
      <w:proofErr w:type="gramEnd"/>
    </w:p>
    <w:p w:rsidR="00D9221D" w:rsidRPr="008E13CC" w:rsidRDefault="005822B1" w:rsidP="008E13CC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8E13CC">
        <w:rPr>
          <w:rFonts w:cs="Arial"/>
        </w:rPr>
        <w:t>každý stroj, zařízení nebo aparát musí mít určeno svoje technologické číslo</w:t>
      </w:r>
    </w:p>
    <w:p w:rsidR="00E87B27" w:rsidRPr="00D9221D" w:rsidRDefault="0063338C" w:rsidP="008E13CC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D9221D">
        <w:rPr>
          <w:rFonts w:cs="Arial"/>
        </w:rPr>
        <w:t xml:space="preserve">technologické číslo </w:t>
      </w:r>
      <w:r w:rsidR="004F4F06" w:rsidRPr="00D9221D">
        <w:rPr>
          <w:rFonts w:cs="Arial"/>
        </w:rPr>
        <w:t>se urč</w:t>
      </w:r>
      <w:r w:rsidR="0047568D" w:rsidRPr="00D9221D">
        <w:rPr>
          <w:rFonts w:cs="Arial"/>
        </w:rPr>
        <w:t>uje</w:t>
      </w:r>
      <w:r w:rsidR="004F4F06" w:rsidRPr="00D9221D">
        <w:rPr>
          <w:rFonts w:cs="Arial"/>
        </w:rPr>
        <w:t xml:space="preserve"> podle </w:t>
      </w:r>
      <w:r w:rsidR="00141A7C" w:rsidRPr="00D9221D">
        <w:rPr>
          <w:rFonts w:cs="Arial"/>
        </w:rPr>
        <w:t xml:space="preserve">přílohy č. 5 Směrnice Pravidla pro zpracování a ukládání Projektové dokumentace a technické dokumentace  - Značení </w:t>
      </w:r>
      <w:proofErr w:type="spellStart"/>
      <w:r w:rsidR="00E4405A">
        <w:rPr>
          <w:rFonts w:cs="Arial"/>
        </w:rPr>
        <w:t>aprátů</w:t>
      </w:r>
      <w:proofErr w:type="spellEnd"/>
      <w:r w:rsidR="00E4405A">
        <w:rPr>
          <w:rFonts w:cs="Arial"/>
        </w:rPr>
        <w:t xml:space="preserve">, </w:t>
      </w:r>
      <w:r w:rsidR="00141A7C" w:rsidRPr="00D9221D">
        <w:rPr>
          <w:rFonts w:cs="Arial"/>
        </w:rPr>
        <w:t>strojních z</w:t>
      </w:r>
      <w:r w:rsidR="00E4405A">
        <w:rPr>
          <w:rFonts w:cs="Arial"/>
        </w:rPr>
        <w:t xml:space="preserve">ařízení, </w:t>
      </w:r>
      <w:proofErr w:type="spellStart"/>
      <w:r w:rsidR="00E4405A">
        <w:rPr>
          <w:rFonts w:cs="Arial"/>
        </w:rPr>
        <w:t>MaR</w:t>
      </w:r>
      <w:proofErr w:type="spellEnd"/>
      <w:r w:rsidR="00E4405A">
        <w:rPr>
          <w:rFonts w:cs="Arial"/>
        </w:rPr>
        <w:t xml:space="preserve"> a potrubních větví, </w:t>
      </w:r>
      <w:proofErr w:type="spellStart"/>
      <w:r w:rsidR="00E4405A">
        <w:rPr>
          <w:rFonts w:cs="Arial"/>
        </w:rPr>
        <w:t>atd</w:t>
      </w:r>
      <w:proofErr w:type="spellEnd"/>
    </w:p>
    <w:p w:rsidR="00141A7C" w:rsidRPr="003F5248" w:rsidRDefault="00141A7C" w:rsidP="008E13CC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3F5248">
        <w:rPr>
          <w:rFonts w:cs="Arial"/>
        </w:rPr>
        <w:t xml:space="preserve">Použití </w:t>
      </w:r>
      <w:r w:rsidR="00CA12D7">
        <w:rPr>
          <w:rFonts w:cs="Arial"/>
        </w:rPr>
        <w:t>(</w:t>
      </w:r>
      <w:r w:rsidRPr="003F5248">
        <w:rPr>
          <w:rFonts w:cs="Arial"/>
        </w:rPr>
        <w:t>5 až 8 znaků</w:t>
      </w:r>
      <w:r w:rsidR="003F5248" w:rsidRPr="003F5248">
        <w:rPr>
          <w:rFonts w:cs="Arial"/>
        </w:rPr>
        <w:t xml:space="preserve">) alfanumerické a číselné </w:t>
      </w:r>
    </w:p>
    <w:p w:rsidR="00E4405A" w:rsidRDefault="00141A7C" w:rsidP="00E4405A">
      <w:pPr>
        <w:pStyle w:val="Odstavecseseznamem"/>
        <w:spacing w:after="0" w:line="240" w:lineRule="auto"/>
        <w:ind w:left="1416" w:firstLine="708"/>
        <w:rPr>
          <w:rFonts w:cs="Arial"/>
        </w:rPr>
      </w:pPr>
      <w:r w:rsidRPr="003F5248">
        <w:rPr>
          <w:rFonts w:cs="Arial"/>
        </w:rPr>
        <w:t xml:space="preserve">Př. </w:t>
      </w:r>
      <w:r w:rsidR="00D9221D">
        <w:rPr>
          <w:rFonts w:cs="Arial"/>
        </w:rPr>
        <w:tab/>
      </w:r>
      <w:r w:rsidRPr="003F5248">
        <w:rPr>
          <w:rFonts w:cs="Arial"/>
        </w:rPr>
        <w:t>XD01212A,</w:t>
      </w:r>
    </w:p>
    <w:p w:rsidR="00E4405A" w:rsidRDefault="00141A7C" w:rsidP="00E4405A">
      <w:pPr>
        <w:pStyle w:val="Odstavecseseznamem"/>
        <w:spacing w:after="0" w:line="240" w:lineRule="auto"/>
        <w:ind w:left="2124" w:firstLine="708"/>
        <w:rPr>
          <w:rFonts w:cs="Arial"/>
        </w:rPr>
      </w:pPr>
      <w:r w:rsidRPr="003F5248">
        <w:rPr>
          <w:rFonts w:cs="Arial"/>
        </w:rPr>
        <w:t>stavební 00000000,</w:t>
      </w:r>
    </w:p>
    <w:p w:rsidR="00E87B27" w:rsidRDefault="00141A7C" w:rsidP="00E4405A">
      <w:pPr>
        <w:pStyle w:val="Odstavecseseznamem"/>
        <w:spacing w:after="0" w:line="240" w:lineRule="auto"/>
        <w:ind w:left="2124" w:firstLine="708"/>
        <w:rPr>
          <w:rFonts w:cs="Arial"/>
        </w:rPr>
      </w:pPr>
      <w:r w:rsidRPr="003F5248">
        <w:rPr>
          <w:rFonts w:cs="Arial"/>
        </w:rPr>
        <w:t>souhrnná zpráva 00000</w:t>
      </w:r>
    </w:p>
    <w:p w:rsidR="00D9221D" w:rsidRPr="003F5248" w:rsidRDefault="00CA12D7" w:rsidP="00E4405A">
      <w:pPr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Arial" w:hAnsi="Arial" w:cs="Arial"/>
          <w:sz w:val="18"/>
          <w:szCs w:val="18"/>
        </w:rPr>
        <w:t>P02249A, V02259</w:t>
      </w:r>
    </w:p>
    <w:p w:rsidR="008E13CC" w:rsidRPr="008E13CC" w:rsidRDefault="007D1348" w:rsidP="008E13CC">
      <w:pPr>
        <w:pStyle w:val="Odstavecseseznamem"/>
        <w:numPr>
          <w:ilvl w:val="0"/>
          <w:numId w:val="7"/>
        </w:numPr>
        <w:spacing w:after="360"/>
      </w:pPr>
      <w:r w:rsidRPr="008E13CC">
        <w:rPr>
          <w:rFonts w:cs="Arial"/>
        </w:rPr>
        <w:t xml:space="preserve">určí </w:t>
      </w:r>
      <w:r w:rsidR="00E20719" w:rsidRPr="008E13CC">
        <w:rPr>
          <w:rFonts w:cs="Arial"/>
        </w:rPr>
        <w:t xml:space="preserve">technolog </w:t>
      </w:r>
      <w:r w:rsidR="00D238A2" w:rsidRPr="008E13CC">
        <w:rPr>
          <w:rFonts w:cs="Arial"/>
        </w:rPr>
        <w:t xml:space="preserve">nebo mechanik </w:t>
      </w:r>
      <w:r w:rsidR="00E20719" w:rsidRPr="008E13CC">
        <w:rPr>
          <w:rFonts w:cs="Arial"/>
        </w:rPr>
        <w:t>provozu</w:t>
      </w:r>
      <w:r w:rsidR="00EA10B2" w:rsidRPr="008E13CC">
        <w:rPr>
          <w:rFonts w:cs="Arial"/>
        </w:rPr>
        <w:t>, případně projektant s následným odsouhlasením technologa nebo mechanika provozu</w:t>
      </w:r>
    </w:p>
    <w:p w:rsidR="005822B1" w:rsidRPr="005822B1" w:rsidRDefault="008E13CC" w:rsidP="008E13CC">
      <w:pPr>
        <w:pStyle w:val="Odstavecseseznamem"/>
        <w:numPr>
          <w:ilvl w:val="0"/>
          <w:numId w:val="7"/>
        </w:numPr>
        <w:spacing w:after="120"/>
      </w:pPr>
      <w:r w:rsidRPr="008E13CC">
        <w:rPr>
          <w:rFonts w:cs="Arial"/>
        </w:rPr>
        <w:t xml:space="preserve">u dokumentu, který nijak </w:t>
      </w:r>
      <w:r w:rsidRPr="008E13CC">
        <w:rPr>
          <w:rFonts w:cs="Arial"/>
          <w:b/>
        </w:rPr>
        <w:t>nesouvisí</w:t>
      </w:r>
      <w:r w:rsidRPr="008E13CC">
        <w:rPr>
          <w:rFonts w:cs="Arial"/>
        </w:rPr>
        <w:t xml:space="preserve"> s určitým zařízením, se za technologické číslo </w:t>
      </w:r>
      <w:r w:rsidRPr="008E13CC">
        <w:rPr>
          <w:rFonts w:cs="Arial"/>
          <w:b/>
        </w:rPr>
        <w:t>dosadí 5</w:t>
      </w:r>
      <w:r w:rsidRPr="008E13CC">
        <w:rPr>
          <w:b/>
        </w:rPr>
        <w:t xml:space="preserve"> nul</w:t>
      </w:r>
      <w:r w:rsidR="00EE3E64" w:rsidRPr="008E13CC">
        <w:rPr>
          <w:rFonts w:cs="Arial"/>
        </w:rPr>
        <w:br/>
      </w:r>
    </w:p>
    <w:p w:rsidR="0032010B" w:rsidRDefault="007D1348" w:rsidP="00E4405A">
      <w:pPr>
        <w:spacing w:after="0" w:line="240" w:lineRule="auto"/>
      </w:pPr>
      <w:r w:rsidRPr="006F624C">
        <w:rPr>
          <w:b/>
          <w:u w:val="single"/>
        </w:rPr>
        <w:t>Pořadové číslo dokumentu</w:t>
      </w:r>
      <w:r w:rsidR="00CB4FFE">
        <w:rPr>
          <w:b/>
          <w:u w:val="single"/>
        </w:rPr>
        <w:t xml:space="preserve"> (třímístné)</w:t>
      </w:r>
      <w:r w:rsidR="000A34A2">
        <w:rPr>
          <w:u w:val="single"/>
        </w:rPr>
        <w:br/>
      </w:r>
      <w:r w:rsidR="000A34A2">
        <w:t xml:space="preserve">- pořadové číslo dokumentu, list dokumentu </w:t>
      </w:r>
      <w:r w:rsidR="0032010B">
        <w:br/>
        <w:t>- určí projektant</w:t>
      </w:r>
    </w:p>
    <w:p w:rsidR="00CB4FFE" w:rsidRDefault="00E4405A" w:rsidP="00E4405A">
      <w:pPr>
        <w:pStyle w:val="Odstavecseseznamem"/>
        <w:numPr>
          <w:ilvl w:val="0"/>
          <w:numId w:val="6"/>
        </w:numPr>
        <w:spacing w:after="0" w:line="240" w:lineRule="auto"/>
        <w:ind w:left="142" w:hanging="142"/>
      </w:pPr>
      <w:r>
        <w:t>Postupné vzestupné číslování dokumentů</w:t>
      </w:r>
    </w:p>
    <w:p w:rsidR="00CB4FFE" w:rsidRDefault="00CB4FFE" w:rsidP="00033AFB">
      <w:pPr>
        <w:spacing w:before="120" w:after="120" w:line="240" w:lineRule="auto"/>
        <w:ind w:left="142"/>
      </w:pPr>
      <w:r>
        <w:t>Pro stavební profese platí:</w:t>
      </w:r>
    </w:p>
    <w:tbl>
      <w:tblPr>
        <w:tblStyle w:val="Mkatabulky"/>
        <w:tblW w:w="0" w:type="auto"/>
        <w:tblLook w:val="04A0"/>
      </w:tblPr>
      <w:tblGrid>
        <w:gridCol w:w="2235"/>
        <w:gridCol w:w="6977"/>
      </w:tblGrid>
      <w:tr w:rsidR="00CB4FFE" w:rsidTr="00CB4FFE">
        <w:tc>
          <w:tcPr>
            <w:tcW w:w="2235" w:type="dxa"/>
          </w:tcPr>
          <w:p w:rsidR="00CB4FFE" w:rsidRDefault="00CB4FFE" w:rsidP="00CB4FFE">
            <w:r>
              <w:t xml:space="preserve">Rozsah </w:t>
            </w:r>
          </w:p>
        </w:tc>
        <w:tc>
          <w:tcPr>
            <w:tcW w:w="6977" w:type="dxa"/>
          </w:tcPr>
          <w:p w:rsidR="00CB4FFE" w:rsidRDefault="00CB4FFE" w:rsidP="00CB4FFE">
            <w:r>
              <w:t>Popis</w:t>
            </w:r>
          </w:p>
        </w:tc>
      </w:tr>
      <w:tr w:rsidR="00CB4FFE" w:rsidTr="00CB4FFE">
        <w:tc>
          <w:tcPr>
            <w:tcW w:w="2235" w:type="dxa"/>
          </w:tcPr>
          <w:p w:rsidR="00CB4FFE" w:rsidRDefault="00CB4FFE" w:rsidP="00CB4FFE">
            <w:r>
              <w:t>001 - 099</w:t>
            </w:r>
          </w:p>
        </w:tc>
        <w:tc>
          <w:tcPr>
            <w:tcW w:w="6977" w:type="dxa"/>
          </w:tcPr>
          <w:p w:rsidR="00CB4FFE" w:rsidRDefault="00033AFB" w:rsidP="00CB4FFE">
            <w:r>
              <w:t>stavebně</w:t>
            </w:r>
            <w:r w:rsidR="00CB4FFE">
              <w:t xml:space="preserve"> architektonické </w:t>
            </w:r>
          </w:p>
        </w:tc>
      </w:tr>
      <w:tr w:rsidR="00CB4FFE" w:rsidTr="00CB4FFE">
        <w:tc>
          <w:tcPr>
            <w:tcW w:w="2235" w:type="dxa"/>
          </w:tcPr>
          <w:p w:rsidR="00CB4FFE" w:rsidRDefault="00CB4FFE" w:rsidP="00CB4FFE">
            <w:r>
              <w:t>100 - 299</w:t>
            </w:r>
          </w:p>
        </w:tc>
        <w:tc>
          <w:tcPr>
            <w:tcW w:w="6977" w:type="dxa"/>
          </w:tcPr>
          <w:p w:rsidR="00CB4FFE" w:rsidRDefault="00033AFB" w:rsidP="00CB4FFE">
            <w:r>
              <w:t>betonové konstrukce</w:t>
            </w:r>
          </w:p>
        </w:tc>
      </w:tr>
      <w:tr w:rsidR="00CB4FFE" w:rsidTr="00CB4FFE">
        <w:tc>
          <w:tcPr>
            <w:tcW w:w="2235" w:type="dxa"/>
          </w:tcPr>
          <w:p w:rsidR="00CB4FFE" w:rsidRDefault="00CB4FFE" w:rsidP="00CB4FFE">
            <w:r>
              <w:t>300 - 399</w:t>
            </w:r>
          </w:p>
        </w:tc>
        <w:tc>
          <w:tcPr>
            <w:tcW w:w="6977" w:type="dxa"/>
          </w:tcPr>
          <w:p w:rsidR="00CB4FFE" w:rsidRDefault="00033AFB" w:rsidP="00CB4FFE">
            <w:r>
              <w:t>ocelové konstrukce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400 - 499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zdravotechnika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500 - 599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vzduchotechnika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600 - 699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ústřední vytápění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700 - 749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stavební elektroinstalace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750 - 799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slaboproud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800 - 899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EPS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900 - 949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GDS</w:t>
            </w:r>
          </w:p>
        </w:tc>
      </w:tr>
      <w:tr w:rsidR="00CB4FFE" w:rsidTr="00CB4FFE">
        <w:tc>
          <w:tcPr>
            <w:tcW w:w="2235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950 - 999</w:t>
            </w:r>
          </w:p>
        </w:tc>
        <w:tc>
          <w:tcPr>
            <w:tcW w:w="6977" w:type="dxa"/>
          </w:tcPr>
          <w:p w:rsidR="00CB4FFE" w:rsidRPr="00833E91" w:rsidRDefault="00033AFB" w:rsidP="00114CD9">
            <w:pPr>
              <w:rPr>
                <w:rFonts w:cs="Arial"/>
              </w:rPr>
            </w:pPr>
            <w:r>
              <w:rPr>
                <w:rFonts w:cs="Arial"/>
              </w:rPr>
              <w:t>rezerva</w:t>
            </w:r>
          </w:p>
        </w:tc>
      </w:tr>
    </w:tbl>
    <w:p w:rsidR="00E4405A" w:rsidRPr="000A34A2" w:rsidRDefault="00E4405A" w:rsidP="00CB4FFE">
      <w:pPr>
        <w:pStyle w:val="Odstavecseseznamem"/>
        <w:spacing w:after="0" w:line="240" w:lineRule="auto"/>
        <w:ind w:left="142"/>
      </w:pPr>
    </w:p>
    <w:p w:rsidR="007D1348" w:rsidRDefault="007D1348" w:rsidP="008E13CC">
      <w:pPr>
        <w:pStyle w:val="Odstavecseseznamem"/>
        <w:numPr>
          <w:ilvl w:val="0"/>
          <w:numId w:val="6"/>
        </w:numPr>
        <w:spacing w:after="0" w:line="240" w:lineRule="auto"/>
      </w:pPr>
      <w:r w:rsidRPr="008E13CC">
        <w:rPr>
          <w:b/>
          <w:u w:val="single"/>
        </w:rPr>
        <w:t xml:space="preserve">Číslo revize </w:t>
      </w:r>
      <w:r w:rsidR="00033AFB" w:rsidRPr="008E13CC">
        <w:rPr>
          <w:b/>
          <w:u w:val="single"/>
        </w:rPr>
        <w:t>(dvoumístné)</w:t>
      </w:r>
      <w:r w:rsidR="000A34A2">
        <w:br/>
        <w:t>pořadové číslo revize</w:t>
      </w:r>
      <w:r w:rsidR="005B7142">
        <w:t xml:space="preserve"> </w:t>
      </w:r>
      <w:r w:rsidR="00ED0632">
        <w:t>(</w:t>
      </w:r>
      <w:r w:rsidR="000A34A2">
        <w:t>nový</w:t>
      </w:r>
      <w:r>
        <w:t xml:space="preserve"> </w:t>
      </w:r>
      <w:r w:rsidR="000A34A2">
        <w:t>v</w:t>
      </w:r>
      <w:r>
        <w:t>ýkres</w:t>
      </w:r>
      <w:r w:rsidR="000A34A2">
        <w:t xml:space="preserve"> = revize 00</w:t>
      </w:r>
      <w:r w:rsidR="00ED0632">
        <w:t>)</w:t>
      </w:r>
    </w:p>
    <w:p w:rsidR="00E4405A" w:rsidRDefault="00E4405A" w:rsidP="008E13CC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Postupné vzestupné </w:t>
      </w:r>
      <w:r w:rsidR="004B377B">
        <w:t xml:space="preserve">číslování revizí </w:t>
      </w:r>
    </w:p>
    <w:p w:rsidR="002F6C92" w:rsidRDefault="002F6C92" w:rsidP="004B377B">
      <w:pPr>
        <w:spacing w:after="0" w:line="240" w:lineRule="auto"/>
      </w:pPr>
    </w:p>
    <w:p w:rsidR="002F6C92" w:rsidRDefault="002F6C92" w:rsidP="004B377B">
      <w:pPr>
        <w:spacing w:after="0" w:line="240" w:lineRule="auto"/>
      </w:pPr>
      <w:r w:rsidRPr="002F6C92">
        <w:rPr>
          <w:b/>
          <w:u w:val="single"/>
        </w:rPr>
        <w:t>Stupně dokumentace</w:t>
      </w:r>
    </w:p>
    <w:p w:rsidR="002F6C92" w:rsidRDefault="002F6C92" w:rsidP="004B377B">
      <w:pPr>
        <w:spacing w:after="0" w:line="240" w:lineRule="auto"/>
      </w:pPr>
      <w:r>
        <w:t xml:space="preserve">Různé stupně dokumentace jako je např. </w:t>
      </w:r>
      <w:r w:rsidRPr="002F6C92">
        <w:t xml:space="preserve">Studie, DSP, UR, Tendrová, DD, As </w:t>
      </w:r>
      <w:proofErr w:type="spellStart"/>
      <w:r w:rsidRPr="002F6C92">
        <w:t>built</w:t>
      </w:r>
      <w:proofErr w:type="spellEnd"/>
      <w:r w:rsidRPr="002F6C92">
        <w:t xml:space="preserve">  atd.</w:t>
      </w:r>
      <w:r>
        <w:t xml:space="preserve"> musí být tento stupeň uveden v rohovém razítku v kolonce „STUPEŇ PROJEKTU“</w:t>
      </w:r>
    </w:p>
    <w:p w:rsidR="000236F0" w:rsidRDefault="000236F0" w:rsidP="00AA61CD">
      <w:pPr>
        <w:spacing w:after="0"/>
      </w:pPr>
    </w:p>
    <w:p w:rsidR="0034198F" w:rsidRPr="0034198F" w:rsidRDefault="0034198F" w:rsidP="0034198F">
      <w:pPr>
        <w:spacing w:after="0" w:line="240" w:lineRule="auto"/>
        <w:rPr>
          <w:b/>
          <w:u w:val="single"/>
        </w:rPr>
      </w:pPr>
      <w:r w:rsidRPr="0034198F">
        <w:rPr>
          <w:b/>
          <w:u w:val="single"/>
        </w:rPr>
        <w:t>Příklady číslování:</w:t>
      </w:r>
    </w:p>
    <w:p w:rsidR="0034198F" w:rsidRDefault="0034198F" w:rsidP="00AA61CD">
      <w:pPr>
        <w:spacing w:after="0"/>
      </w:pPr>
    </w:p>
    <w:p w:rsidR="0034198F" w:rsidRPr="0034198F" w:rsidRDefault="0034198F" w:rsidP="0034198F">
      <w:pPr>
        <w:spacing w:after="0"/>
      </w:pPr>
      <w:r w:rsidRPr="0034198F">
        <w:t xml:space="preserve">PF-000-6311-830-00000-001 </w:t>
      </w:r>
      <w:r w:rsidR="008E13CC" w:rsidRPr="0034198F">
        <w:t xml:space="preserve">– </w:t>
      </w:r>
      <w:r w:rsidRPr="0034198F">
        <w:t>Technická zpráva – Rafinerie SO 6311</w:t>
      </w:r>
    </w:p>
    <w:p w:rsidR="0034198F" w:rsidRPr="0034198F" w:rsidRDefault="0034198F" w:rsidP="0034198F">
      <w:pPr>
        <w:spacing w:after="0"/>
      </w:pPr>
      <w:r w:rsidRPr="0034198F">
        <w:t>PF-000-6311-832-00000-001 – Specifikace – Rafinerie SO 6311</w:t>
      </w:r>
    </w:p>
    <w:p w:rsidR="0034198F" w:rsidRPr="0034198F" w:rsidRDefault="0034198F" w:rsidP="0034198F">
      <w:pPr>
        <w:spacing w:after="0"/>
      </w:pPr>
      <w:r w:rsidRPr="0034198F">
        <w:t>PF-000-6312-833-00000-301 – Statický výpočet – Sklady SO6312 – ocelové konstrukce</w:t>
      </w:r>
    </w:p>
    <w:p w:rsidR="0034198F" w:rsidRPr="0034198F" w:rsidRDefault="0034198F" w:rsidP="0034198F">
      <w:pPr>
        <w:spacing w:after="0"/>
      </w:pPr>
      <w:r w:rsidRPr="0034198F">
        <w:t>PF-000-6312-834-00000-204 – Výkres výztuže – Sklady 6312 – betonové konstrukce</w:t>
      </w:r>
    </w:p>
    <w:p w:rsidR="0034198F" w:rsidRPr="0034198F" w:rsidRDefault="0034198F" w:rsidP="0034198F">
      <w:pPr>
        <w:spacing w:after="0"/>
      </w:pPr>
      <w:r w:rsidRPr="0034198F">
        <w:t xml:space="preserve">PF-202-6311-817-00000-020 – PID Bělení - Rafinerie SO 6311 </w:t>
      </w:r>
      <w:r w:rsidR="008E13CC" w:rsidRPr="0034198F">
        <w:t xml:space="preserve">– </w:t>
      </w:r>
      <w:r w:rsidRPr="0034198F">
        <w:t>PS 20.2</w:t>
      </w:r>
    </w:p>
    <w:p w:rsidR="0034198F" w:rsidRDefault="0034198F" w:rsidP="00AA61CD">
      <w:pPr>
        <w:spacing w:after="0"/>
      </w:pPr>
    </w:p>
    <w:sectPr w:rsidR="0034198F" w:rsidSect="00EB3F79">
      <w:pgSz w:w="11906" w:h="16838"/>
      <w:pgMar w:top="851" w:right="1417" w:bottom="709" w:left="1417" w:header="426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4E2" w:rsidRDefault="00D944E2" w:rsidP="00031451">
      <w:pPr>
        <w:spacing w:after="0" w:line="240" w:lineRule="auto"/>
      </w:pPr>
      <w:r>
        <w:separator/>
      </w:r>
    </w:p>
  </w:endnote>
  <w:endnote w:type="continuationSeparator" w:id="0">
    <w:p w:rsidR="00D944E2" w:rsidRDefault="00D944E2" w:rsidP="0003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4800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3789934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8E13CC" w:rsidRDefault="008E13CC" w:rsidP="008E13CC">
            <w:pPr>
              <w:pStyle w:val="Zpat"/>
            </w:pPr>
            <w:r w:rsidRPr="008E13CC">
              <w:rPr>
                <w:rFonts w:cs="Arial"/>
                <w:b/>
                <w:i/>
                <w:sz w:val="18"/>
                <w:szCs w:val="18"/>
              </w:rPr>
              <w:t>P04-SM 40 Pravidla pro číslování dokumentů_</w:t>
            </w:r>
            <w:r w:rsidR="00C137AA" w:rsidRPr="00C137AA">
              <w:rPr>
                <w:rFonts w:cs="Arial"/>
                <w:b/>
                <w:i/>
                <w:sz w:val="18"/>
                <w:szCs w:val="18"/>
              </w:rPr>
              <w:t>180919</w:t>
            </w:r>
            <w:r>
              <w:rPr>
                <w:rFonts w:cs="Arial"/>
                <w:b/>
                <w:i/>
                <w:sz w:val="18"/>
                <w:szCs w:val="18"/>
              </w:rPr>
              <w:tab/>
            </w:r>
            <w:r w:rsidRPr="008E13CC">
              <w:rPr>
                <w:rFonts w:cs="Arial"/>
                <w:b/>
                <w:i/>
                <w:sz w:val="18"/>
                <w:szCs w:val="18"/>
              </w:rPr>
              <w:tab/>
            </w:r>
            <w:r w:rsidR="00AE5848" w:rsidRPr="008E13CC">
              <w:rPr>
                <w:b/>
                <w:sz w:val="18"/>
                <w:szCs w:val="18"/>
              </w:rPr>
              <w:fldChar w:fldCharType="begin"/>
            </w:r>
            <w:r w:rsidRPr="008E13CC">
              <w:rPr>
                <w:b/>
                <w:sz w:val="18"/>
                <w:szCs w:val="18"/>
              </w:rPr>
              <w:instrText>PAGE</w:instrText>
            </w:r>
            <w:r w:rsidR="00AE5848" w:rsidRPr="008E13CC">
              <w:rPr>
                <w:b/>
                <w:sz w:val="18"/>
                <w:szCs w:val="18"/>
              </w:rPr>
              <w:fldChar w:fldCharType="separate"/>
            </w:r>
            <w:r w:rsidR="00C137AA">
              <w:rPr>
                <w:b/>
                <w:noProof/>
                <w:sz w:val="18"/>
                <w:szCs w:val="18"/>
              </w:rPr>
              <w:t>3</w:t>
            </w:r>
            <w:r w:rsidR="00AE5848" w:rsidRPr="008E13CC">
              <w:rPr>
                <w:b/>
                <w:sz w:val="18"/>
                <w:szCs w:val="18"/>
              </w:rPr>
              <w:fldChar w:fldCharType="end"/>
            </w:r>
            <w:r w:rsidRPr="008E13CC">
              <w:rPr>
                <w:sz w:val="18"/>
                <w:szCs w:val="18"/>
              </w:rPr>
              <w:t>/</w:t>
            </w:r>
            <w:r w:rsidR="00AE5848" w:rsidRPr="008E13CC">
              <w:rPr>
                <w:b/>
                <w:sz w:val="18"/>
                <w:szCs w:val="18"/>
              </w:rPr>
              <w:fldChar w:fldCharType="begin"/>
            </w:r>
            <w:r w:rsidRPr="008E13CC">
              <w:rPr>
                <w:b/>
                <w:sz w:val="18"/>
                <w:szCs w:val="18"/>
              </w:rPr>
              <w:instrText>NUMPAGES</w:instrText>
            </w:r>
            <w:r w:rsidR="00AE5848" w:rsidRPr="008E13CC">
              <w:rPr>
                <w:b/>
                <w:sz w:val="18"/>
                <w:szCs w:val="18"/>
              </w:rPr>
              <w:fldChar w:fldCharType="separate"/>
            </w:r>
            <w:r w:rsidR="00C137AA">
              <w:rPr>
                <w:b/>
                <w:noProof/>
                <w:sz w:val="18"/>
                <w:szCs w:val="18"/>
              </w:rPr>
              <w:t>3</w:t>
            </w:r>
            <w:r w:rsidR="00AE5848" w:rsidRPr="008E13CC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1D3302" w:rsidRDefault="001D3302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4E2" w:rsidRDefault="00D944E2" w:rsidP="00031451">
      <w:pPr>
        <w:spacing w:after="0" w:line="240" w:lineRule="auto"/>
      </w:pPr>
      <w:r>
        <w:separator/>
      </w:r>
    </w:p>
  </w:footnote>
  <w:footnote w:type="continuationSeparator" w:id="0">
    <w:p w:rsidR="00D944E2" w:rsidRDefault="00D944E2" w:rsidP="00031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3CC" w:rsidRDefault="008E13CC" w:rsidP="008E13CC">
    <w:pPr>
      <w:pStyle w:val="Zhlav"/>
      <w:jc w:val="right"/>
    </w:pPr>
    <w:r w:rsidRPr="008E13CC">
      <w:rPr>
        <w:noProof/>
        <w:lang w:eastAsia="cs-CZ"/>
      </w:rPr>
      <w:drawing>
        <wp:inline distT="0" distB="0" distL="0" distR="0">
          <wp:extent cx="1028700" cy="304800"/>
          <wp:effectExtent l="19050" t="0" r="0" b="0"/>
          <wp:docPr id="1" name="obrázek 3" descr="\\lovochemie.cz\dfs\Users\hendrych\Corporate identity\PREOL\logo PREOL 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lovochemie.cz\dfs\Users\hendrych\Corporate identity\PREOL\logo PREOL 201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6" cy="312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Pr="008E13CC">
      <w:rPr>
        <w:noProof/>
        <w:lang w:eastAsia="cs-CZ"/>
      </w:rPr>
      <w:drawing>
        <wp:inline distT="0" distB="0" distL="0" distR="0">
          <wp:extent cx="819150" cy="373380"/>
          <wp:effectExtent l="19050" t="0" r="0" b="0"/>
          <wp:docPr id="3" name="obrázek 1" descr="preol c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eol cz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420" cy="3766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CC8"/>
    <w:multiLevelType w:val="hybridMultilevel"/>
    <w:tmpl w:val="CB88BAF0"/>
    <w:lvl w:ilvl="0" w:tplc="A97C9D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C3E58"/>
    <w:multiLevelType w:val="hybridMultilevel"/>
    <w:tmpl w:val="C2A27714"/>
    <w:lvl w:ilvl="0" w:tplc="213E97DE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65C4E39"/>
    <w:multiLevelType w:val="hybridMultilevel"/>
    <w:tmpl w:val="F4EC9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1426B"/>
    <w:multiLevelType w:val="hybridMultilevel"/>
    <w:tmpl w:val="FE34B1D4"/>
    <w:lvl w:ilvl="0" w:tplc="17CC5D2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44502"/>
    <w:multiLevelType w:val="hybridMultilevel"/>
    <w:tmpl w:val="67B4D55A"/>
    <w:lvl w:ilvl="0" w:tplc="2ED64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BEB18E" w:tentative="1">
      <w:start w:val="1"/>
      <w:numFmt w:val="lowerLetter"/>
      <w:lvlText w:val="%2."/>
      <w:lvlJc w:val="left"/>
      <w:pPr>
        <w:ind w:left="1440" w:hanging="360"/>
      </w:pPr>
    </w:lvl>
    <w:lvl w:ilvl="2" w:tplc="19C4E904" w:tentative="1">
      <w:start w:val="1"/>
      <w:numFmt w:val="lowerRoman"/>
      <w:lvlText w:val="%3."/>
      <w:lvlJc w:val="right"/>
      <w:pPr>
        <w:ind w:left="2160" w:hanging="180"/>
      </w:pPr>
    </w:lvl>
    <w:lvl w:ilvl="3" w:tplc="D87820AA" w:tentative="1">
      <w:start w:val="1"/>
      <w:numFmt w:val="decimal"/>
      <w:lvlText w:val="%4."/>
      <w:lvlJc w:val="left"/>
      <w:pPr>
        <w:ind w:left="2880" w:hanging="360"/>
      </w:pPr>
    </w:lvl>
    <w:lvl w:ilvl="4" w:tplc="7AA0B77E" w:tentative="1">
      <w:start w:val="1"/>
      <w:numFmt w:val="lowerLetter"/>
      <w:lvlText w:val="%5."/>
      <w:lvlJc w:val="left"/>
      <w:pPr>
        <w:ind w:left="3600" w:hanging="360"/>
      </w:pPr>
    </w:lvl>
    <w:lvl w:ilvl="5" w:tplc="F7D8A648" w:tentative="1">
      <w:start w:val="1"/>
      <w:numFmt w:val="lowerRoman"/>
      <w:lvlText w:val="%6."/>
      <w:lvlJc w:val="right"/>
      <w:pPr>
        <w:ind w:left="4320" w:hanging="180"/>
      </w:pPr>
    </w:lvl>
    <w:lvl w:ilvl="6" w:tplc="CCBCE3B4" w:tentative="1">
      <w:start w:val="1"/>
      <w:numFmt w:val="decimal"/>
      <w:lvlText w:val="%7."/>
      <w:lvlJc w:val="left"/>
      <w:pPr>
        <w:ind w:left="5040" w:hanging="360"/>
      </w:pPr>
    </w:lvl>
    <w:lvl w:ilvl="7" w:tplc="28942B8E" w:tentative="1">
      <w:start w:val="1"/>
      <w:numFmt w:val="lowerLetter"/>
      <w:lvlText w:val="%8."/>
      <w:lvlJc w:val="left"/>
      <w:pPr>
        <w:ind w:left="5760" w:hanging="360"/>
      </w:pPr>
    </w:lvl>
    <w:lvl w:ilvl="8" w:tplc="6062E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71DA5"/>
    <w:multiLevelType w:val="hybridMultilevel"/>
    <w:tmpl w:val="2AEAC900"/>
    <w:lvl w:ilvl="0" w:tplc="A97C9DEC">
      <w:start w:val="4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A892D6C"/>
    <w:multiLevelType w:val="hybridMultilevel"/>
    <w:tmpl w:val="A26A6376"/>
    <w:lvl w:ilvl="0" w:tplc="68DADDF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A00F9"/>
    <w:rsid w:val="00006EFF"/>
    <w:rsid w:val="000139A1"/>
    <w:rsid w:val="00016579"/>
    <w:rsid w:val="000236F0"/>
    <w:rsid w:val="00031451"/>
    <w:rsid w:val="00033AFB"/>
    <w:rsid w:val="00035E17"/>
    <w:rsid w:val="0004238E"/>
    <w:rsid w:val="00044794"/>
    <w:rsid w:val="00044E9E"/>
    <w:rsid w:val="00051DAA"/>
    <w:rsid w:val="00053169"/>
    <w:rsid w:val="0005545E"/>
    <w:rsid w:val="000667AA"/>
    <w:rsid w:val="0007566B"/>
    <w:rsid w:val="000A34A2"/>
    <w:rsid w:val="000C12F4"/>
    <w:rsid w:val="00121264"/>
    <w:rsid w:val="0012254D"/>
    <w:rsid w:val="00123524"/>
    <w:rsid w:val="00131AC5"/>
    <w:rsid w:val="00135C62"/>
    <w:rsid w:val="00141A7C"/>
    <w:rsid w:val="0014536C"/>
    <w:rsid w:val="001464EF"/>
    <w:rsid w:val="00153087"/>
    <w:rsid w:val="0015403F"/>
    <w:rsid w:val="00177249"/>
    <w:rsid w:val="0017772B"/>
    <w:rsid w:val="00186E02"/>
    <w:rsid w:val="0019715B"/>
    <w:rsid w:val="001A71DD"/>
    <w:rsid w:val="001B37A3"/>
    <w:rsid w:val="001C19FE"/>
    <w:rsid w:val="001D29CF"/>
    <w:rsid w:val="001D3302"/>
    <w:rsid w:val="001E0450"/>
    <w:rsid w:val="002005E4"/>
    <w:rsid w:val="00257AFD"/>
    <w:rsid w:val="002621DB"/>
    <w:rsid w:val="0026424C"/>
    <w:rsid w:val="00267941"/>
    <w:rsid w:val="002716DE"/>
    <w:rsid w:val="00273E2A"/>
    <w:rsid w:val="0028117B"/>
    <w:rsid w:val="00291BA9"/>
    <w:rsid w:val="002A3CEC"/>
    <w:rsid w:val="002E04F6"/>
    <w:rsid w:val="002F6C92"/>
    <w:rsid w:val="00316BC2"/>
    <w:rsid w:val="0032010B"/>
    <w:rsid w:val="0034198F"/>
    <w:rsid w:val="0039228C"/>
    <w:rsid w:val="003A38A3"/>
    <w:rsid w:val="003B1A62"/>
    <w:rsid w:val="003B3997"/>
    <w:rsid w:val="003B4D76"/>
    <w:rsid w:val="003C339E"/>
    <w:rsid w:val="003C511E"/>
    <w:rsid w:val="003D43BE"/>
    <w:rsid w:val="003F5248"/>
    <w:rsid w:val="00416E72"/>
    <w:rsid w:val="00434BF6"/>
    <w:rsid w:val="004435A1"/>
    <w:rsid w:val="00455BF2"/>
    <w:rsid w:val="0047568D"/>
    <w:rsid w:val="00495209"/>
    <w:rsid w:val="004A00F9"/>
    <w:rsid w:val="004B377B"/>
    <w:rsid w:val="004B57D8"/>
    <w:rsid w:val="004C685D"/>
    <w:rsid w:val="004D19AC"/>
    <w:rsid w:val="004E73D1"/>
    <w:rsid w:val="004F377E"/>
    <w:rsid w:val="004F4F06"/>
    <w:rsid w:val="00520BB8"/>
    <w:rsid w:val="005822B1"/>
    <w:rsid w:val="0059394F"/>
    <w:rsid w:val="00596E27"/>
    <w:rsid w:val="005A5E0C"/>
    <w:rsid w:val="005A7378"/>
    <w:rsid w:val="005B282C"/>
    <w:rsid w:val="005B7142"/>
    <w:rsid w:val="005D24C1"/>
    <w:rsid w:val="005D43C6"/>
    <w:rsid w:val="005D7686"/>
    <w:rsid w:val="00607E2E"/>
    <w:rsid w:val="0063338C"/>
    <w:rsid w:val="006368FE"/>
    <w:rsid w:val="00643FDE"/>
    <w:rsid w:val="006648FE"/>
    <w:rsid w:val="006677BC"/>
    <w:rsid w:val="006E1BDA"/>
    <w:rsid w:val="006F624C"/>
    <w:rsid w:val="00727921"/>
    <w:rsid w:val="007313B2"/>
    <w:rsid w:val="00737431"/>
    <w:rsid w:val="00740FF3"/>
    <w:rsid w:val="00750A25"/>
    <w:rsid w:val="007618B9"/>
    <w:rsid w:val="007676D7"/>
    <w:rsid w:val="00785B69"/>
    <w:rsid w:val="007903EB"/>
    <w:rsid w:val="007B31B4"/>
    <w:rsid w:val="007D1348"/>
    <w:rsid w:val="007E483A"/>
    <w:rsid w:val="008476BE"/>
    <w:rsid w:val="00857BBD"/>
    <w:rsid w:val="00860048"/>
    <w:rsid w:val="0086406B"/>
    <w:rsid w:val="00872927"/>
    <w:rsid w:val="0088131E"/>
    <w:rsid w:val="008B77CD"/>
    <w:rsid w:val="008D3397"/>
    <w:rsid w:val="008E13CC"/>
    <w:rsid w:val="008F5539"/>
    <w:rsid w:val="00914E0C"/>
    <w:rsid w:val="00915445"/>
    <w:rsid w:val="00952DAC"/>
    <w:rsid w:val="009728D1"/>
    <w:rsid w:val="00983AD6"/>
    <w:rsid w:val="009B166D"/>
    <w:rsid w:val="009D5785"/>
    <w:rsid w:val="009D63F5"/>
    <w:rsid w:val="009E61E1"/>
    <w:rsid w:val="009F3A0E"/>
    <w:rsid w:val="009F613C"/>
    <w:rsid w:val="00A1569A"/>
    <w:rsid w:val="00A56A56"/>
    <w:rsid w:val="00A63154"/>
    <w:rsid w:val="00A91B86"/>
    <w:rsid w:val="00AA48BD"/>
    <w:rsid w:val="00AA61CD"/>
    <w:rsid w:val="00AC7D37"/>
    <w:rsid w:val="00AD50A5"/>
    <w:rsid w:val="00AE5848"/>
    <w:rsid w:val="00B07CE9"/>
    <w:rsid w:val="00B72652"/>
    <w:rsid w:val="00B734F1"/>
    <w:rsid w:val="00B832F8"/>
    <w:rsid w:val="00B94E20"/>
    <w:rsid w:val="00BF6FC2"/>
    <w:rsid w:val="00C12FA3"/>
    <w:rsid w:val="00C137AA"/>
    <w:rsid w:val="00C24DC9"/>
    <w:rsid w:val="00C57A91"/>
    <w:rsid w:val="00C73C28"/>
    <w:rsid w:val="00CA0505"/>
    <w:rsid w:val="00CA12D7"/>
    <w:rsid w:val="00CB4FFE"/>
    <w:rsid w:val="00CC4A7B"/>
    <w:rsid w:val="00CC796F"/>
    <w:rsid w:val="00CE469B"/>
    <w:rsid w:val="00D238A2"/>
    <w:rsid w:val="00D3091B"/>
    <w:rsid w:val="00D531CE"/>
    <w:rsid w:val="00D632EB"/>
    <w:rsid w:val="00D66F01"/>
    <w:rsid w:val="00D760E3"/>
    <w:rsid w:val="00D9221D"/>
    <w:rsid w:val="00D944E2"/>
    <w:rsid w:val="00DA527B"/>
    <w:rsid w:val="00DC6D48"/>
    <w:rsid w:val="00DE5FDE"/>
    <w:rsid w:val="00E20719"/>
    <w:rsid w:val="00E4405A"/>
    <w:rsid w:val="00E6142D"/>
    <w:rsid w:val="00E67099"/>
    <w:rsid w:val="00E87B27"/>
    <w:rsid w:val="00EA10B2"/>
    <w:rsid w:val="00EB2009"/>
    <w:rsid w:val="00EB3F79"/>
    <w:rsid w:val="00ED0632"/>
    <w:rsid w:val="00ED6748"/>
    <w:rsid w:val="00EE3E64"/>
    <w:rsid w:val="00F06B0C"/>
    <w:rsid w:val="00F30C3E"/>
    <w:rsid w:val="00F4239E"/>
    <w:rsid w:val="00F44F3A"/>
    <w:rsid w:val="00F70937"/>
    <w:rsid w:val="00FA32EB"/>
    <w:rsid w:val="00FB365E"/>
    <w:rsid w:val="00FB6C2F"/>
    <w:rsid w:val="00FC024D"/>
    <w:rsid w:val="00FD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8" type="connector" idref="#_x0000_s1038"/>
        <o:r id="V:Rule9" type="connector" idref="#_x0000_s1033"/>
        <o:r id="V:Rule10" type="connector" idref="#_x0000_s1037"/>
        <o:r id="V:Rule11" type="connector" idref="#_x0000_s1032"/>
        <o:r id="V:Rule12" type="connector" idref="#_x0000_s1035"/>
        <o:r id="V:Rule13" type="connector" idref="#_x0000_s1034"/>
        <o:r id="V:Rule1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00F9"/>
  </w:style>
  <w:style w:type="paragraph" w:styleId="Nadpis1">
    <w:name w:val="heading 1"/>
    <w:basedOn w:val="Normln"/>
    <w:next w:val="Normln"/>
    <w:link w:val="Nadpis1Char"/>
    <w:qFormat/>
    <w:rsid w:val="009D63F5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00F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9D63F5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1451"/>
  </w:style>
  <w:style w:type="paragraph" w:styleId="Zpat">
    <w:name w:val="footer"/>
    <w:basedOn w:val="Normln"/>
    <w:link w:val="ZpatChar"/>
    <w:uiPriority w:val="99"/>
    <w:unhideWhenUsed/>
    <w:rsid w:val="0003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1451"/>
  </w:style>
  <w:style w:type="paragraph" w:styleId="Textbubliny">
    <w:name w:val="Balloon Text"/>
    <w:basedOn w:val="Normln"/>
    <w:link w:val="TextbublinyChar"/>
    <w:uiPriority w:val="99"/>
    <w:semiHidden/>
    <w:unhideWhenUsed/>
    <w:rsid w:val="0003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45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60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EC862B-D5E9-4197-97C3-47AE2AF52A0D}"/>
</file>

<file path=customXml/itemProps2.xml><?xml version="1.0" encoding="utf-8"?>
<ds:datastoreItem xmlns:ds="http://schemas.openxmlformats.org/officeDocument/2006/customXml" ds:itemID="{AF5CEED4-BFA5-4E1C-9CEB-1F267D1D49EE}"/>
</file>

<file path=customXml/itemProps3.xml><?xml version="1.0" encoding="utf-8"?>
<ds:datastoreItem xmlns:ds="http://schemas.openxmlformats.org/officeDocument/2006/customXml" ds:itemID="{601340B8-2A88-45F9-ADAC-DCD417685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703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Lovochemie, a.s.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Pravenec</dc:creator>
  <cp:lastModifiedBy>Vytrhlíková Kateřina</cp:lastModifiedBy>
  <cp:revision>6</cp:revision>
  <cp:lastPrinted>2013-04-16T09:40:00Z</cp:lastPrinted>
  <dcterms:created xsi:type="dcterms:W3CDTF">2014-12-03T12:35:00Z</dcterms:created>
  <dcterms:modified xsi:type="dcterms:W3CDTF">2019-09-10T11:36:00Z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0x010100817B32C6BAABCB4ABB729FB901301317</vt:lpwstr>
  </property>
</Properties>
</file>